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0CC80" w14:textId="402595DA" w:rsidR="00327E0C" w:rsidRPr="00327E0C" w:rsidRDefault="00B60511" w:rsidP="00327E0C">
      <w:pPr>
        <w:pStyle w:val="Title"/>
        <w:jc w:val="center"/>
        <w:rPr>
          <w:rFonts w:ascii="Segoe UI Light" w:eastAsia="Times New Roman" w:hAnsi="Segoe UI Light" w:cs="Times New Roman"/>
          <w:bCs/>
          <w:spacing w:val="0"/>
          <w:kern w:val="0"/>
          <w:sz w:val="48"/>
          <w:szCs w:val="32"/>
        </w:rPr>
      </w:pPr>
      <w:r>
        <w:rPr>
          <w:rFonts w:ascii="Segoe UI Light" w:eastAsia="Times New Roman" w:hAnsi="Segoe UI Light" w:cs="Times New Roman"/>
          <w:bCs/>
          <w:spacing w:val="0"/>
          <w:kern w:val="0"/>
          <w:sz w:val="48"/>
          <w:szCs w:val="32"/>
        </w:rPr>
        <w:t xml:space="preserve">Palladium Group </w:t>
      </w:r>
      <w:r w:rsidR="00327E0C" w:rsidRPr="00327E0C">
        <w:rPr>
          <w:rFonts w:ascii="Segoe UI Light" w:eastAsia="Times New Roman" w:hAnsi="Segoe UI Light" w:cs="Times New Roman"/>
          <w:bCs/>
          <w:spacing w:val="0"/>
          <w:kern w:val="0"/>
          <w:sz w:val="48"/>
          <w:szCs w:val="32"/>
        </w:rPr>
        <w:t>Privacy Notice</w:t>
      </w:r>
    </w:p>
    <w:p w14:paraId="19EA81BB" w14:textId="4ECB9392" w:rsidR="002B55CC" w:rsidRDefault="002B55CC" w:rsidP="002B55CC">
      <w:pPr>
        <w:pStyle w:val="Heading1"/>
      </w:pPr>
      <w:r>
        <w:t>Summary</w:t>
      </w:r>
    </w:p>
    <w:tbl>
      <w:tblPr>
        <w:tblStyle w:val="TableGrid"/>
        <w:tblW w:w="5000" w:type="pct"/>
        <w:tblBorders>
          <w:insideV w:val="none" w:sz="0" w:space="0" w:color="auto"/>
        </w:tblBorders>
        <w:tblCellMar>
          <w:top w:w="113" w:type="dxa"/>
          <w:bottom w:w="113" w:type="dxa"/>
        </w:tblCellMar>
        <w:tblLook w:val="04A0" w:firstRow="1" w:lastRow="0" w:firstColumn="1" w:lastColumn="0" w:noHBand="0" w:noVBand="1"/>
      </w:tblPr>
      <w:tblGrid>
        <w:gridCol w:w="840"/>
        <w:gridCol w:w="2404"/>
        <w:gridCol w:w="847"/>
        <w:gridCol w:w="4925"/>
      </w:tblGrid>
      <w:tr w:rsidR="002E635D" w:rsidRPr="00756430" w14:paraId="20CEF20C" w14:textId="69B51FC6" w:rsidTr="00345F77">
        <w:tc>
          <w:tcPr>
            <w:tcW w:w="9062" w:type="dxa"/>
            <w:gridSpan w:val="4"/>
            <w:shd w:val="clear" w:color="auto" w:fill="000000" w:themeFill="text1"/>
          </w:tcPr>
          <w:p w14:paraId="6490CB50" w14:textId="1865E408" w:rsidR="002E635D" w:rsidRPr="00756430" w:rsidRDefault="0004434D" w:rsidP="0072252C">
            <w:pPr>
              <w:rPr>
                <w:b/>
                <w:color w:val="FFFFFF" w:themeColor="background1"/>
                <w:szCs w:val="18"/>
              </w:rPr>
            </w:pPr>
            <w:r w:rsidRPr="00756430">
              <w:rPr>
                <w:b/>
                <w:color w:val="FFFFFF" w:themeColor="background1"/>
                <w:szCs w:val="18"/>
              </w:rPr>
              <w:t>T</w:t>
            </w:r>
            <w:r w:rsidR="002E635D" w:rsidRPr="00756430">
              <w:rPr>
                <w:b/>
                <w:color w:val="FFFFFF" w:themeColor="background1"/>
                <w:szCs w:val="18"/>
              </w:rPr>
              <w:t xml:space="preserve">ypes of </w:t>
            </w:r>
            <w:r w:rsidRPr="00756430">
              <w:rPr>
                <w:b/>
                <w:color w:val="FFFFFF" w:themeColor="background1"/>
                <w:szCs w:val="18"/>
              </w:rPr>
              <w:t>personal d</w:t>
            </w:r>
            <w:r w:rsidR="002E635D" w:rsidRPr="00756430">
              <w:rPr>
                <w:b/>
                <w:color w:val="FFFFFF" w:themeColor="background1"/>
                <w:szCs w:val="18"/>
              </w:rPr>
              <w:t xml:space="preserve">ata </w:t>
            </w:r>
            <w:r w:rsidRPr="00756430">
              <w:rPr>
                <w:b/>
                <w:color w:val="FFFFFF" w:themeColor="background1"/>
                <w:szCs w:val="18"/>
              </w:rPr>
              <w:t>we collect</w:t>
            </w:r>
          </w:p>
        </w:tc>
      </w:tr>
      <w:tr w:rsidR="00752AA3" w:rsidRPr="00756430" w14:paraId="3B4981AF" w14:textId="105CB658" w:rsidTr="00345F77">
        <w:trPr>
          <w:cnfStyle w:val="000000010000" w:firstRow="0" w:lastRow="0" w:firstColumn="0" w:lastColumn="0" w:oddVBand="0" w:evenVBand="0" w:oddHBand="0" w:evenHBand="1" w:firstRowFirstColumn="0" w:firstRowLastColumn="0" w:lastRowFirstColumn="0" w:lastRowLastColumn="0"/>
        </w:trPr>
        <w:tc>
          <w:tcPr>
            <w:tcW w:w="841" w:type="dxa"/>
            <w:tcBorders>
              <w:bottom w:val="nil"/>
            </w:tcBorders>
            <w:shd w:val="clear" w:color="auto" w:fill="FFFFFF" w:themeFill="background1"/>
          </w:tcPr>
          <w:p w14:paraId="3E287779" w14:textId="4305E75D" w:rsidR="002E635D" w:rsidRPr="00756430" w:rsidRDefault="002E635D" w:rsidP="0072252C">
            <w:pPr>
              <w:rPr>
                <w:szCs w:val="18"/>
              </w:rPr>
            </w:pPr>
            <w:r w:rsidRPr="00756430">
              <w:rPr>
                <w:noProof/>
                <w:szCs w:val="18"/>
              </w:rPr>
              <w:drawing>
                <wp:inline distT="0" distB="0" distL="0" distR="0" wp14:anchorId="52357FEA" wp14:editId="1A76E2B2">
                  <wp:extent cx="360000" cy="360000"/>
                  <wp:effectExtent l="0" t="0" r="2540" b="254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360000" cy="360000"/>
                          </a:xfrm>
                          <a:prstGeom prst="rect">
                            <a:avLst/>
                          </a:prstGeom>
                        </pic:spPr>
                      </pic:pic>
                    </a:graphicData>
                  </a:graphic>
                </wp:inline>
              </w:drawing>
            </w:r>
          </w:p>
        </w:tc>
        <w:tc>
          <w:tcPr>
            <w:tcW w:w="2412" w:type="dxa"/>
            <w:tcBorders>
              <w:top w:val="nil"/>
              <w:bottom w:val="nil"/>
            </w:tcBorders>
            <w:shd w:val="clear" w:color="auto" w:fill="FFFFFF" w:themeFill="background1"/>
            <w:vAlign w:val="center"/>
          </w:tcPr>
          <w:p w14:paraId="7B8D10FE" w14:textId="76E25CD8" w:rsidR="002E635D" w:rsidRPr="00756430" w:rsidRDefault="002E635D" w:rsidP="00EE0E34">
            <w:pPr>
              <w:rPr>
                <w:szCs w:val="18"/>
              </w:rPr>
            </w:pPr>
            <w:r w:rsidRPr="00756430">
              <w:rPr>
                <w:b/>
                <w:szCs w:val="18"/>
              </w:rPr>
              <w:t>Contact details</w:t>
            </w:r>
          </w:p>
        </w:tc>
        <w:tc>
          <w:tcPr>
            <w:tcW w:w="848" w:type="dxa"/>
            <w:tcBorders>
              <w:bottom w:val="nil"/>
            </w:tcBorders>
            <w:shd w:val="clear" w:color="auto" w:fill="FFFFFF" w:themeFill="background1"/>
            <w:vAlign w:val="center"/>
          </w:tcPr>
          <w:p w14:paraId="5CB8277C" w14:textId="3E823BE9" w:rsidR="002E635D" w:rsidRPr="00756430" w:rsidRDefault="00B60511" w:rsidP="00EE0E34">
            <w:pPr>
              <w:rPr>
                <w:b/>
                <w:szCs w:val="18"/>
              </w:rPr>
            </w:pPr>
            <w:r w:rsidRPr="00756430">
              <w:rPr>
                <w:noProof/>
                <w:szCs w:val="18"/>
              </w:rPr>
              <w:drawing>
                <wp:inline distT="0" distB="0" distL="0" distR="0" wp14:anchorId="25412F4A" wp14:editId="50BFF4F6">
                  <wp:extent cx="360000" cy="360000"/>
                  <wp:effectExtent l="0" t="0" r="2540" b="254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360000" cy="360000"/>
                          </a:xfrm>
                          <a:prstGeom prst="rect">
                            <a:avLst/>
                          </a:prstGeom>
                        </pic:spPr>
                      </pic:pic>
                    </a:graphicData>
                  </a:graphic>
                </wp:inline>
              </w:drawing>
            </w:r>
          </w:p>
        </w:tc>
        <w:tc>
          <w:tcPr>
            <w:tcW w:w="4961" w:type="dxa"/>
            <w:tcBorders>
              <w:bottom w:val="nil"/>
            </w:tcBorders>
            <w:shd w:val="clear" w:color="auto" w:fill="FFFFFF" w:themeFill="background1"/>
            <w:vAlign w:val="center"/>
          </w:tcPr>
          <w:p w14:paraId="4FCC153A" w14:textId="2AA4A481" w:rsidR="002E635D" w:rsidRPr="00756430" w:rsidRDefault="00B60511" w:rsidP="00B60511">
            <w:pPr>
              <w:spacing w:line="240" w:lineRule="auto"/>
              <w:rPr>
                <w:b/>
                <w:szCs w:val="18"/>
              </w:rPr>
            </w:pPr>
            <w:r w:rsidRPr="00756430">
              <w:rPr>
                <w:b/>
                <w:szCs w:val="18"/>
              </w:rPr>
              <w:t>Financial details</w:t>
            </w:r>
            <w:r>
              <w:rPr>
                <w:b/>
                <w:szCs w:val="18"/>
              </w:rPr>
              <w:t xml:space="preserve"> and formal identification</w:t>
            </w:r>
          </w:p>
        </w:tc>
      </w:tr>
      <w:tr w:rsidR="006A0829" w:rsidRPr="00756430" w14:paraId="63A2CB75" w14:textId="35F3085C" w:rsidTr="00345F77">
        <w:tc>
          <w:tcPr>
            <w:tcW w:w="841" w:type="dxa"/>
            <w:tcBorders>
              <w:top w:val="nil"/>
            </w:tcBorders>
            <w:shd w:val="clear" w:color="auto" w:fill="FFFFFF" w:themeFill="background1"/>
          </w:tcPr>
          <w:p w14:paraId="59397A21" w14:textId="34829CEB" w:rsidR="002E635D" w:rsidRPr="00756430" w:rsidRDefault="002E635D" w:rsidP="00BA615C">
            <w:pPr>
              <w:rPr>
                <w:szCs w:val="18"/>
              </w:rPr>
            </w:pPr>
            <w:r w:rsidRPr="00756430">
              <w:rPr>
                <w:noProof/>
                <w:szCs w:val="18"/>
              </w:rPr>
              <w:drawing>
                <wp:inline distT="0" distB="0" distL="0" distR="0" wp14:anchorId="11CAA65C" wp14:editId="1A20255E">
                  <wp:extent cx="360000" cy="360000"/>
                  <wp:effectExtent l="0" t="0" r="254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60000" cy="360000"/>
                          </a:xfrm>
                          <a:prstGeom prst="rect">
                            <a:avLst/>
                          </a:prstGeom>
                        </pic:spPr>
                      </pic:pic>
                    </a:graphicData>
                  </a:graphic>
                </wp:inline>
              </w:drawing>
            </w:r>
          </w:p>
        </w:tc>
        <w:tc>
          <w:tcPr>
            <w:tcW w:w="2412" w:type="dxa"/>
            <w:tcBorders>
              <w:top w:val="nil"/>
            </w:tcBorders>
            <w:shd w:val="clear" w:color="auto" w:fill="FFFFFF" w:themeFill="background1"/>
            <w:vAlign w:val="center"/>
          </w:tcPr>
          <w:p w14:paraId="0D0F1DE8" w14:textId="47DF1188" w:rsidR="002E635D" w:rsidRPr="00756430" w:rsidRDefault="002E635D" w:rsidP="00EE0E34">
            <w:pPr>
              <w:rPr>
                <w:szCs w:val="18"/>
              </w:rPr>
            </w:pPr>
            <w:r w:rsidRPr="00756430">
              <w:rPr>
                <w:b/>
                <w:szCs w:val="18"/>
              </w:rPr>
              <w:t>Correspondence</w:t>
            </w:r>
          </w:p>
        </w:tc>
        <w:tc>
          <w:tcPr>
            <w:tcW w:w="848" w:type="dxa"/>
            <w:tcBorders>
              <w:top w:val="nil"/>
            </w:tcBorders>
            <w:shd w:val="clear" w:color="auto" w:fill="FFFFFF" w:themeFill="background1"/>
            <w:vAlign w:val="center"/>
          </w:tcPr>
          <w:p w14:paraId="661838A1" w14:textId="715755C4" w:rsidR="002E635D" w:rsidRPr="00756430" w:rsidRDefault="002E635D" w:rsidP="00EE0E34">
            <w:pPr>
              <w:rPr>
                <w:b/>
                <w:szCs w:val="18"/>
              </w:rPr>
            </w:pPr>
          </w:p>
        </w:tc>
        <w:tc>
          <w:tcPr>
            <w:tcW w:w="4961" w:type="dxa"/>
            <w:tcBorders>
              <w:top w:val="nil"/>
            </w:tcBorders>
            <w:shd w:val="clear" w:color="auto" w:fill="FFFFFF" w:themeFill="background1"/>
            <w:vAlign w:val="center"/>
          </w:tcPr>
          <w:p w14:paraId="4794742F" w14:textId="77777777" w:rsidR="002E635D" w:rsidRPr="00756430" w:rsidRDefault="002E635D" w:rsidP="00B60511">
            <w:pPr>
              <w:spacing w:line="240" w:lineRule="auto"/>
              <w:rPr>
                <w:b/>
                <w:szCs w:val="18"/>
              </w:rPr>
            </w:pPr>
          </w:p>
        </w:tc>
      </w:tr>
    </w:tbl>
    <w:p w14:paraId="3126524E" w14:textId="4262FA74" w:rsidR="0096315A" w:rsidRPr="00756430" w:rsidRDefault="0096315A" w:rsidP="00084701">
      <w:pPr>
        <w:spacing w:after="0"/>
        <w:rPr>
          <w:szCs w:val="18"/>
        </w:rPr>
      </w:pPr>
    </w:p>
    <w:tbl>
      <w:tblPr>
        <w:tblStyle w:val="TableGrid"/>
        <w:tblW w:w="5000" w:type="pct"/>
        <w:tblBorders>
          <w:insideV w:val="none" w:sz="0" w:space="0" w:color="auto"/>
        </w:tblBorders>
        <w:tblCellMar>
          <w:top w:w="113" w:type="dxa"/>
          <w:bottom w:w="113" w:type="dxa"/>
        </w:tblCellMar>
        <w:tblLook w:val="04A0" w:firstRow="1" w:lastRow="0" w:firstColumn="1" w:lastColumn="0" w:noHBand="0" w:noVBand="1"/>
      </w:tblPr>
      <w:tblGrid>
        <w:gridCol w:w="842"/>
        <w:gridCol w:w="8174"/>
      </w:tblGrid>
      <w:tr w:rsidR="0042524B" w:rsidRPr="00756430" w14:paraId="1902D287" w14:textId="77777777" w:rsidTr="00B60511">
        <w:tc>
          <w:tcPr>
            <w:tcW w:w="9016" w:type="dxa"/>
            <w:gridSpan w:val="2"/>
            <w:shd w:val="clear" w:color="auto" w:fill="000000" w:themeFill="text1"/>
          </w:tcPr>
          <w:p w14:paraId="7E5EE1A1" w14:textId="7C0DF3F0" w:rsidR="0042524B" w:rsidRPr="00756430" w:rsidRDefault="0004434D" w:rsidP="007C5FFA">
            <w:pPr>
              <w:rPr>
                <w:b/>
                <w:color w:val="FFFFFF" w:themeColor="background1"/>
                <w:szCs w:val="18"/>
              </w:rPr>
            </w:pPr>
            <w:r w:rsidRPr="00756430">
              <w:rPr>
                <w:b/>
                <w:color w:val="FFFFFF" w:themeColor="background1"/>
                <w:szCs w:val="18"/>
              </w:rPr>
              <w:t>How we handle personal data</w:t>
            </w:r>
          </w:p>
        </w:tc>
      </w:tr>
      <w:tr w:rsidR="0042524B" w:rsidRPr="00756430" w14:paraId="0478C9A2" w14:textId="77777777" w:rsidTr="00B60511">
        <w:trPr>
          <w:cnfStyle w:val="000000010000" w:firstRow="0" w:lastRow="0" w:firstColumn="0" w:lastColumn="0" w:oddVBand="0" w:evenVBand="0" w:oddHBand="0" w:evenHBand="1" w:firstRowFirstColumn="0" w:firstRowLastColumn="0" w:lastRowFirstColumn="0" w:lastRowLastColumn="0"/>
        </w:trPr>
        <w:tc>
          <w:tcPr>
            <w:tcW w:w="842" w:type="dxa"/>
          </w:tcPr>
          <w:p w14:paraId="1C535465" w14:textId="77777777" w:rsidR="0042524B" w:rsidRPr="00756430" w:rsidRDefault="0042524B" w:rsidP="006A0829">
            <w:pPr>
              <w:ind w:right="37"/>
              <w:rPr>
                <w:szCs w:val="18"/>
              </w:rPr>
            </w:pPr>
            <w:r w:rsidRPr="00756430">
              <w:rPr>
                <w:noProof/>
                <w:szCs w:val="18"/>
              </w:rPr>
              <w:drawing>
                <wp:inline distT="0" distB="0" distL="0" distR="0" wp14:anchorId="138E4D93" wp14:editId="1E626D89">
                  <wp:extent cx="360000" cy="360000"/>
                  <wp:effectExtent l="0" t="0" r="2540" b="2540"/>
                  <wp:docPr id="45" name="Graphic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p>
        </w:tc>
        <w:tc>
          <w:tcPr>
            <w:tcW w:w="8174" w:type="dxa"/>
          </w:tcPr>
          <w:p w14:paraId="6306FDF2" w14:textId="59BF30D6" w:rsidR="00F87C3E" w:rsidRPr="00756430" w:rsidRDefault="00F87C3E" w:rsidP="00662718">
            <w:pPr>
              <w:pStyle w:val="ListParagraph"/>
              <w:numPr>
                <w:ilvl w:val="0"/>
                <w:numId w:val="14"/>
              </w:numPr>
              <w:ind w:left="452"/>
              <w:rPr>
                <w:szCs w:val="18"/>
              </w:rPr>
            </w:pPr>
            <w:r w:rsidRPr="00756430">
              <w:rPr>
                <w:szCs w:val="18"/>
              </w:rPr>
              <w:t>We only process your data in the way you would reasonably expect us to.</w:t>
            </w:r>
          </w:p>
          <w:p w14:paraId="7ACB0D6B" w14:textId="1CAD1E8A" w:rsidR="00662718" w:rsidRPr="00756430" w:rsidRDefault="00F87C3E" w:rsidP="00662718">
            <w:pPr>
              <w:pStyle w:val="ListParagraph"/>
              <w:numPr>
                <w:ilvl w:val="0"/>
                <w:numId w:val="14"/>
              </w:numPr>
              <w:ind w:left="452"/>
              <w:rPr>
                <w:szCs w:val="18"/>
              </w:rPr>
            </w:pPr>
            <w:r w:rsidRPr="00756430">
              <w:rPr>
                <w:szCs w:val="18"/>
              </w:rPr>
              <w:t xml:space="preserve">We use your data to provide our services to you, respond to your enquiries, manage our relationship with </w:t>
            </w:r>
            <w:r w:rsidR="00612C60">
              <w:rPr>
                <w:szCs w:val="18"/>
              </w:rPr>
              <w:t>you, and meet our legal obligations</w:t>
            </w:r>
            <w:r w:rsidRPr="00756430">
              <w:rPr>
                <w:szCs w:val="18"/>
              </w:rPr>
              <w:t>.</w:t>
            </w:r>
          </w:p>
          <w:p w14:paraId="0672FDA1" w14:textId="49DE9370" w:rsidR="00F87C3E" w:rsidRPr="00756430" w:rsidRDefault="00F87C3E" w:rsidP="00662718">
            <w:pPr>
              <w:pStyle w:val="ListParagraph"/>
              <w:numPr>
                <w:ilvl w:val="0"/>
                <w:numId w:val="14"/>
              </w:numPr>
              <w:ind w:left="452"/>
              <w:rPr>
                <w:szCs w:val="18"/>
              </w:rPr>
            </w:pPr>
            <w:r w:rsidRPr="00756430">
              <w:rPr>
                <w:szCs w:val="18"/>
              </w:rPr>
              <w:t>We keep the information we hold about you to a minimum.</w:t>
            </w:r>
          </w:p>
        </w:tc>
      </w:tr>
      <w:tr w:rsidR="0042524B" w:rsidRPr="00756430" w14:paraId="7D7C22B5" w14:textId="77777777" w:rsidTr="00B60511">
        <w:tc>
          <w:tcPr>
            <w:tcW w:w="842" w:type="dxa"/>
          </w:tcPr>
          <w:p w14:paraId="28DBEB8C" w14:textId="77777777" w:rsidR="0042524B" w:rsidRPr="00756430" w:rsidRDefault="0042524B" w:rsidP="006A0829">
            <w:pPr>
              <w:ind w:right="37"/>
              <w:rPr>
                <w:szCs w:val="18"/>
              </w:rPr>
            </w:pPr>
            <w:r w:rsidRPr="00756430">
              <w:rPr>
                <w:noProof/>
                <w:szCs w:val="18"/>
              </w:rPr>
              <w:drawing>
                <wp:inline distT="0" distB="0" distL="0" distR="0" wp14:anchorId="7A26D9FA" wp14:editId="1DF89144">
                  <wp:extent cx="360000" cy="360000"/>
                  <wp:effectExtent l="0" t="0" r="2540" b="2540"/>
                  <wp:docPr id="46" name="Graphic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inline>
              </w:drawing>
            </w:r>
          </w:p>
        </w:tc>
        <w:tc>
          <w:tcPr>
            <w:tcW w:w="8174" w:type="dxa"/>
          </w:tcPr>
          <w:p w14:paraId="3165FE42" w14:textId="77777777" w:rsidR="00662718" w:rsidRPr="00756430" w:rsidRDefault="0042524B" w:rsidP="00662718">
            <w:pPr>
              <w:pStyle w:val="ListParagraph"/>
              <w:numPr>
                <w:ilvl w:val="0"/>
                <w:numId w:val="14"/>
              </w:numPr>
              <w:ind w:left="452"/>
              <w:rPr>
                <w:szCs w:val="18"/>
              </w:rPr>
            </w:pPr>
            <w:r w:rsidRPr="00756430">
              <w:rPr>
                <w:szCs w:val="18"/>
              </w:rPr>
              <w:t xml:space="preserve">Some data </w:t>
            </w:r>
            <w:r w:rsidR="00385DE6" w:rsidRPr="00756430">
              <w:rPr>
                <w:szCs w:val="18"/>
              </w:rPr>
              <w:t xml:space="preserve">you give us </w:t>
            </w:r>
            <w:r w:rsidRPr="00756430">
              <w:rPr>
                <w:szCs w:val="18"/>
              </w:rPr>
              <w:t>may be kept indefinitely</w:t>
            </w:r>
            <w:r w:rsidR="00385DE6" w:rsidRPr="00756430">
              <w:rPr>
                <w:szCs w:val="18"/>
              </w:rPr>
              <w:t>.</w:t>
            </w:r>
          </w:p>
          <w:p w14:paraId="411FD6B1" w14:textId="5107C038" w:rsidR="0042524B" w:rsidRPr="00756430" w:rsidRDefault="00F87C3E" w:rsidP="00662718">
            <w:pPr>
              <w:pStyle w:val="ListParagraph"/>
              <w:numPr>
                <w:ilvl w:val="0"/>
                <w:numId w:val="14"/>
              </w:numPr>
              <w:ind w:left="452"/>
              <w:rPr>
                <w:szCs w:val="18"/>
              </w:rPr>
            </w:pPr>
            <w:r w:rsidRPr="00756430">
              <w:rPr>
                <w:szCs w:val="18"/>
              </w:rPr>
              <w:t>So long as</w:t>
            </w:r>
            <w:r w:rsidR="00CD442A" w:rsidRPr="00756430">
              <w:rPr>
                <w:szCs w:val="18"/>
              </w:rPr>
              <w:t xml:space="preserve"> we don’t need </w:t>
            </w:r>
            <w:r w:rsidRPr="00756430">
              <w:rPr>
                <w:szCs w:val="18"/>
              </w:rPr>
              <w:t>your</w:t>
            </w:r>
            <w:r w:rsidR="00CD442A" w:rsidRPr="00756430">
              <w:rPr>
                <w:szCs w:val="18"/>
              </w:rPr>
              <w:t xml:space="preserve"> data </w:t>
            </w:r>
            <w:r w:rsidR="00385DE6" w:rsidRPr="00756430">
              <w:rPr>
                <w:szCs w:val="18"/>
              </w:rPr>
              <w:t xml:space="preserve">to </w:t>
            </w:r>
            <w:r w:rsidR="00CD442A" w:rsidRPr="00756430">
              <w:rPr>
                <w:szCs w:val="18"/>
              </w:rPr>
              <w:t>meet regulatory requirements</w:t>
            </w:r>
            <w:r w:rsidRPr="00756430">
              <w:rPr>
                <w:szCs w:val="18"/>
              </w:rPr>
              <w:t>,</w:t>
            </w:r>
            <w:r w:rsidR="00385DE6" w:rsidRPr="00756430">
              <w:rPr>
                <w:szCs w:val="18"/>
              </w:rPr>
              <w:t xml:space="preserve"> you </w:t>
            </w:r>
            <w:r w:rsidRPr="00756430">
              <w:rPr>
                <w:szCs w:val="18"/>
              </w:rPr>
              <w:t>have a right to be</w:t>
            </w:r>
            <w:r w:rsidR="00CD442A" w:rsidRPr="00756430">
              <w:rPr>
                <w:szCs w:val="18"/>
              </w:rPr>
              <w:t xml:space="preserve"> forgotten</w:t>
            </w:r>
            <w:r w:rsidRPr="00756430">
              <w:rPr>
                <w:szCs w:val="18"/>
              </w:rPr>
              <w:t xml:space="preserve"> upon request.</w:t>
            </w:r>
          </w:p>
        </w:tc>
      </w:tr>
    </w:tbl>
    <w:p w14:paraId="6A2F16E5" w14:textId="2B8E3878" w:rsidR="0042524B" w:rsidRPr="00756430" w:rsidRDefault="0042524B" w:rsidP="00084701">
      <w:pPr>
        <w:spacing w:after="0"/>
        <w:rPr>
          <w:szCs w:val="18"/>
        </w:rPr>
      </w:pPr>
    </w:p>
    <w:tbl>
      <w:tblPr>
        <w:tblStyle w:val="TableGrid"/>
        <w:tblW w:w="5000" w:type="pct"/>
        <w:tblBorders>
          <w:insideV w:val="none" w:sz="0" w:space="0" w:color="auto"/>
        </w:tblBorders>
        <w:tblCellMar>
          <w:top w:w="113" w:type="dxa"/>
          <w:bottom w:w="113" w:type="dxa"/>
        </w:tblCellMar>
        <w:tblLook w:val="04A0" w:firstRow="1" w:lastRow="0" w:firstColumn="1" w:lastColumn="0" w:noHBand="0" w:noVBand="1"/>
      </w:tblPr>
      <w:tblGrid>
        <w:gridCol w:w="841"/>
        <w:gridCol w:w="8175"/>
      </w:tblGrid>
      <w:tr w:rsidR="0042524B" w:rsidRPr="00756430" w14:paraId="754B6F54" w14:textId="77777777" w:rsidTr="00345F77">
        <w:tc>
          <w:tcPr>
            <w:tcW w:w="9006" w:type="dxa"/>
            <w:gridSpan w:val="2"/>
            <w:shd w:val="clear" w:color="auto" w:fill="000000" w:themeFill="text1"/>
          </w:tcPr>
          <w:p w14:paraId="63815FF7" w14:textId="007CE6CA" w:rsidR="0042524B" w:rsidRPr="00756430" w:rsidRDefault="0042524B" w:rsidP="007C5FFA">
            <w:pPr>
              <w:rPr>
                <w:b/>
                <w:color w:val="FFFFFF" w:themeColor="background1"/>
                <w:szCs w:val="18"/>
              </w:rPr>
            </w:pPr>
            <w:r w:rsidRPr="00756430">
              <w:rPr>
                <w:b/>
                <w:color w:val="FFFFFF" w:themeColor="background1"/>
                <w:szCs w:val="18"/>
              </w:rPr>
              <w:t xml:space="preserve">Data </w:t>
            </w:r>
            <w:r w:rsidR="0004434D" w:rsidRPr="00756430">
              <w:rPr>
                <w:b/>
                <w:color w:val="FFFFFF" w:themeColor="background1"/>
                <w:szCs w:val="18"/>
              </w:rPr>
              <w:t>s</w:t>
            </w:r>
            <w:r w:rsidRPr="00756430">
              <w:rPr>
                <w:b/>
                <w:color w:val="FFFFFF" w:themeColor="background1"/>
                <w:szCs w:val="18"/>
              </w:rPr>
              <w:t>haring</w:t>
            </w:r>
          </w:p>
        </w:tc>
      </w:tr>
      <w:tr w:rsidR="0042524B" w:rsidRPr="00756430" w14:paraId="201BAC2C" w14:textId="77777777" w:rsidTr="00345F77">
        <w:trPr>
          <w:cnfStyle w:val="000000010000" w:firstRow="0" w:lastRow="0" w:firstColumn="0" w:lastColumn="0" w:oddVBand="0" w:evenVBand="0" w:oddHBand="0" w:evenHBand="1" w:firstRowFirstColumn="0" w:firstRowLastColumn="0" w:lastRowFirstColumn="0" w:lastRowLastColumn="0"/>
        </w:trPr>
        <w:tc>
          <w:tcPr>
            <w:tcW w:w="840" w:type="dxa"/>
          </w:tcPr>
          <w:p w14:paraId="4A05097A" w14:textId="77777777" w:rsidR="0042524B" w:rsidRPr="00756430" w:rsidRDefault="0042524B" w:rsidP="007C5FFA">
            <w:pPr>
              <w:rPr>
                <w:szCs w:val="18"/>
              </w:rPr>
            </w:pPr>
            <w:r w:rsidRPr="00756430">
              <w:rPr>
                <w:noProof/>
                <w:szCs w:val="18"/>
              </w:rPr>
              <w:drawing>
                <wp:inline distT="0" distB="0" distL="0" distR="0" wp14:anchorId="16900327" wp14:editId="46817634">
                  <wp:extent cx="360000" cy="360000"/>
                  <wp:effectExtent l="0" t="0" r="2540" b="2540"/>
                  <wp:docPr id="49" name="Graphic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360000" cy="360000"/>
                          </a:xfrm>
                          <a:prstGeom prst="rect">
                            <a:avLst/>
                          </a:prstGeom>
                        </pic:spPr>
                      </pic:pic>
                    </a:graphicData>
                  </a:graphic>
                </wp:inline>
              </w:drawing>
            </w:r>
          </w:p>
        </w:tc>
        <w:tc>
          <w:tcPr>
            <w:tcW w:w="8166" w:type="dxa"/>
          </w:tcPr>
          <w:p w14:paraId="50ED6D2E" w14:textId="5FF649AF" w:rsidR="00EE0E34" w:rsidRPr="00756430" w:rsidRDefault="00EE0E34" w:rsidP="00662718">
            <w:pPr>
              <w:pStyle w:val="ListParagraph"/>
              <w:numPr>
                <w:ilvl w:val="0"/>
                <w:numId w:val="15"/>
              </w:numPr>
              <w:ind w:left="452"/>
              <w:rPr>
                <w:szCs w:val="18"/>
              </w:rPr>
            </w:pPr>
            <w:r w:rsidRPr="00756430">
              <w:rPr>
                <w:szCs w:val="18"/>
              </w:rPr>
              <w:t xml:space="preserve">Your </w:t>
            </w:r>
            <w:r w:rsidR="0060315D">
              <w:rPr>
                <w:szCs w:val="18"/>
              </w:rPr>
              <w:t xml:space="preserve">personal </w:t>
            </w:r>
            <w:r w:rsidRPr="00756430">
              <w:rPr>
                <w:szCs w:val="18"/>
              </w:rPr>
              <w:t>data is not given to</w:t>
            </w:r>
            <w:r w:rsidR="00D920F6">
              <w:rPr>
                <w:szCs w:val="18"/>
              </w:rPr>
              <w:t xml:space="preserve"> </w:t>
            </w:r>
            <w:r w:rsidRPr="00756430">
              <w:rPr>
                <w:szCs w:val="18"/>
              </w:rPr>
              <w:t>advertisers</w:t>
            </w:r>
            <w:r w:rsidR="0060315D">
              <w:rPr>
                <w:szCs w:val="18"/>
              </w:rPr>
              <w:t>.</w:t>
            </w:r>
          </w:p>
          <w:p w14:paraId="3E496104" w14:textId="629C32EA" w:rsidR="0042524B" w:rsidRPr="00756430" w:rsidRDefault="0042524B" w:rsidP="00662718">
            <w:pPr>
              <w:pStyle w:val="ListParagraph"/>
              <w:numPr>
                <w:ilvl w:val="0"/>
                <w:numId w:val="15"/>
              </w:numPr>
              <w:ind w:left="452"/>
              <w:rPr>
                <w:szCs w:val="18"/>
              </w:rPr>
            </w:pPr>
            <w:r w:rsidRPr="00756430">
              <w:rPr>
                <w:szCs w:val="18"/>
              </w:rPr>
              <w:t xml:space="preserve">Your </w:t>
            </w:r>
            <w:r w:rsidR="00D03095">
              <w:rPr>
                <w:szCs w:val="18"/>
              </w:rPr>
              <w:t xml:space="preserve">personal </w:t>
            </w:r>
            <w:r w:rsidRPr="00756430">
              <w:rPr>
                <w:szCs w:val="18"/>
              </w:rPr>
              <w:t>data is never sold</w:t>
            </w:r>
            <w:r w:rsidR="00E9085F" w:rsidRPr="00756430">
              <w:rPr>
                <w:szCs w:val="18"/>
              </w:rPr>
              <w:t>.</w:t>
            </w:r>
          </w:p>
        </w:tc>
      </w:tr>
      <w:tr w:rsidR="006A0829" w:rsidRPr="00756430" w14:paraId="34DE09EA" w14:textId="77777777" w:rsidTr="00345F77">
        <w:tc>
          <w:tcPr>
            <w:tcW w:w="840" w:type="dxa"/>
          </w:tcPr>
          <w:p w14:paraId="60A8E607" w14:textId="77777777" w:rsidR="0042524B" w:rsidRPr="00756430" w:rsidRDefault="0042524B" w:rsidP="007C5FFA">
            <w:pPr>
              <w:rPr>
                <w:szCs w:val="18"/>
              </w:rPr>
            </w:pPr>
            <w:r w:rsidRPr="00756430">
              <w:rPr>
                <w:noProof/>
                <w:szCs w:val="18"/>
              </w:rPr>
              <w:drawing>
                <wp:inline distT="0" distB="0" distL="0" distR="0" wp14:anchorId="7917F6BD" wp14:editId="2BA6067C">
                  <wp:extent cx="360000" cy="360000"/>
                  <wp:effectExtent l="0" t="0" r="2540" b="2540"/>
                  <wp:docPr id="50" name="Graphic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360000" cy="360000"/>
                          </a:xfrm>
                          <a:prstGeom prst="rect">
                            <a:avLst/>
                          </a:prstGeom>
                        </pic:spPr>
                      </pic:pic>
                    </a:graphicData>
                  </a:graphic>
                </wp:inline>
              </w:drawing>
            </w:r>
          </w:p>
        </w:tc>
        <w:tc>
          <w:tcPr>
            <w:tcW w:w="8166" w:type="dxa"/>
          </w:tcPr>
          <w:p w14:paraId="4A8D96C6" w14:textId="02A694D6" w:rsidR="0042524B" w:rsidRPr="00756430" w:rsidRDefault="0042524B" w:rsidP="00662718">
            <w:pPr>
              <w:pStyle w:val="ListParagraph"/>
              <w:numPr>
                <w:ilvl w:val="0"/>
                <w:numId w:val="15"/>
              </w:numPr>
              <w:ind w:left="452"/>
              <w:rPr>
                <w:szCs w:val="18"/>
              </w:rPr>
            </w:pPr>
            <w:r w:rsidRPr="00756430">
              <w:rPr>
                <w:szCs w:val="18"/>
              </w:rPr>
              <w:t>Data is given to law enforcement only when legal process is followed</w:t>
            </w:r>
            <w:r w:rsidR="00E9085F" w:rsidRPr="00756430">
              <w:rPr>
                <w:szCs w:val="18"/>
              </w:rPr>
              <w:t>.</w:t>
            </w:r>
          </w:p>
        </w:tc>
      </w:tr>
      <w:tr w:rsidR="0042524B" w:rsidRPr="00756430" w14:paraId="3745E713" w14:textId="77777777" w:rsidTr="00345F77">
        <w:trPr>
          <w:cnfStyle w:val="000000010000" w:firstRow="0" w:lastRow="0" w:firstColumn="0" w:lastColumn="0" w:oddVBand="0" w:evenVBand="0" w:oddHBand="0" w:evenHBand="1" w:firstRowFirstColumn="0" w:firstRowLastColumn="0" w:lastRowFirstColumn="0" w:lastRowLastColumn="0"/>
        </w:trPr>
        <w:tc>
          <w:tcPr>
            <w:tcW w:w="840" w:type="dxa"/>
          </w:tcPr>
          <w:p w14:paraId="452F23A2" w14:textId="77777777" w:rsidR="0042524B" w:rsidRPr="00756430" w:rsidRDefault="0042524B" w:rsidP="007C5FFA">
            <w:pPr>
              <w:rPr>
                <w:szCs w:val="18"/>
              </w:rPr>
            </w:pPr>
            <w:r w:rsidRPr="00756430">
              <w:rPr>
                <w:noProof/>
                <w:szCs w:val="18"/>
              </w:rPr>
              <w:drawing>
                <wp:inline distT="0" distB="0" distL="0" distR="0" wp14:anchorId="67B15824" wp14:editId="1D44B3DB">
                  <wp:extent cx="360000" cy="360000"/>
                  <wp:effectExtent l="0" t="0" r="2540" b="2540"/>
                  <wp:docPr id="51" name="Graphic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360000" cy="360000"/>
                          </a:xfrm>
                          <a:prstGeom prst="rect">
                            <a:avLst/>
                          </a:prstGeom>
                        </pic:spPr>
                      </pic:pic>
                    </a:graphicData>
                  </a:graphic>
                </wp:inline>
              </w:drawing>
            </w:r>
          </w:p>
        </w:tc>
        <w:tc>
          <w:tcPr>
            <w:tcW w:w="8166" w:type="dxa"/>
          </w:tcPr>
          <w:p w14:paraId="3C76DE96" w14:textId="4BA880E7" w:rsidR="0042524B" w:rsidRPr="00756430" w:rsidRDefault="0042524B" w:rsidP="00662718">
            <w:pPr>
              <w:pStyle w:val="ListParagraph"/>
              <w:numPr>
                <w:ilvl w:val="0"/>
                <w:numId w:val="15"/>
              </w:numPr>
              <w:ind w:left="452"/>
              <w:rPr>
                <w:szCs w:val="18"/>
              </w:rPr>
            </w:pPr>
            <w:r w:rsidRPr="00756430">
              <w:rPr>
                <w:szCs w:val="18"/>
              </w:rPr>
              <w:t>Affiliates, subsidiaries, and contractors are bound by the same privacy practices</w:t>
            </w:r>
            <w:r w:rsidR="00E9085F" w:rsidRPr="00756430">
              <w:rPr>
                <w:szCs w:val="18"/>
              </w:rPr>
              <w:t>.</w:t>
            </w:r>
          </w:p>
        </w:tc>
      </w:tr>
    </w:tbl>
    <w:p w14:paraId="515697FD" w14:textId="3217B951" w:rsidR="00612C60" w:rsidRDefault="00612C60"/>
    <w:p w14:paraId="532D2620" w14:textId="77777777" w:rsidR="00612C60" w:rsidRDefault="00612C60">
      <w:pPr>
        <w:spacing w:line="259" w:lineRule="auto"/>
      </w:pPr>
      <w:r>
        <w:br w:type="page"/>
      </w:r>
    </w:p>
    <w:p w14:paraId="20DF5049" w14:textId="77777777" w:rsidR="0042524B" w:rsidRDefault="0042524B"/>
    <w:p w14:paraId="294D0205" w14:textId="362C1D53" w:rsidR="0004434D" w:rsidRDefault="0004434D" w:rsidP="0004434D">
      <w:pPr>
        <w:pStyle w:val="Heading1"/>
      </w:pPr>
      <w:r>
        <w:t xml:space="preserve">Justification for </w:t>
      </w:r>
      <w:r w:rsidR="004C4A1C">
        <w:t>p</w:t>
      </w:r>
      <w:r>
        <w:t>rocessing</w:t>
      </w:r>
      <w:r w:rsidR="004C4A1C">
        <w:t xml:space="preserve"> your data</w:t>
      </w:r>
    </w:p>
    <w:tbl>
      <w:tblPr>
        <w:tblStyle w:val="TableGrid"/>
        <w:tblW w:w="0" w:type="auto"/>
        <w:tblBorders>
          <w:insideV w:val="none" w:sz="0" w:space="0" w:color="auto"/>
        </w:tblBorders>
        <w:tblCellMar>
          <w:top w:w="113" w:type="dxa"/>
          <w:bottom w:w="113" w:type="dxa"/>
        </w:tblCellMar>
        <w:tblLook w:val="04A0" w:firstRow="1" w:lastRow="0" w:firstColumn="1" w:lastColumn="0" w:noHBand="0" w:noVBand="1"/>
      </w:tblPr>
      <w:tblGrid>
        <w:gridCol w:w="2404"/>
        <w:gridCol w:w="4674"/>
        <w:gridCol w:w="1928"/>
      </w:tblGrid>
      <w:tr w:rsidR="00752AA3" w:rsidRPr="00662718" w14:paraId="23395965" w14:textId="250D05D7" w:rsidTr="00345F77">
        <w:trPr>
          <w:cantSplit/>
        </w:trPr>
        <w:tc>
          <w:tcPr>
            <w:tcW w:w="2404" w:type="dxa"/>
            <w:shd w:val="clear" w:color="auto" w:fill="000000" w:themeFill="text1"/>
          </w:tcPr>
          <w:p w14:paraId="05314006" w14:textId="737FDD3E" w:rsidR="0042524B" w:rsidRPr="005D6271" w:rsidRDefault="006A0829" w:rsidP="007C5FFA">
            <w:pPr>
              <w:rPr>
                <w:b/>
                <w:color w:val="FFFFFF" w:themeColor="background1"/>
                <w:szCs w:val="18"/>
              </w:rPr>
            </w:pPr>
            <w:r w:rsidRPr="005D6271">
              <w:rPr>
                <w:b/>
                <w:color w:val="FFFFFF" w:themeColor="background1"/>
                <w:szCs w:val="18"/>
              </w:rPr>
              <w:t>Types of personal d</w:t>
            </w:r>
            <w:r w:rsidR="0042524B" w:rsidRPr="005D6271">
              <w:rPr>
                <w:b/>
                <w:color w:val="FFFFFF" w:themeColor="background1"/>
                <w:szCs w:val="18"/>
              </w:rPr>
              <w:t>ata</w:t>
            </w:r>
          </w:p>
        </w:tc>
        <w:tc>
          <w:tcPr>
            <w:tcW w:w="4674" w:type="dxa"/>
            <w:shd w:val="clear" w:color="auto" w:fill="000000" w:themeFill="text1"/>
          </w:tcPr>
          <w:p w14:paraId="4D71D65C" w14:textId="0BC306EB" w:rsidR="0042524B" w:rsidRPr="005D6271" w:rsidRDefault="006A0829" w:rsidP="007C5FFA">
            <w:pPr>
              <w:rPr>
                <w:b/>
                <w:color w:val="FFFFFF" w:themeColor="background1"/>
                <w:szCs w:val="18"/>
              </w:rPr>
            </w:pPr>
            <w:r w:rsidRPr="005D6271">
              <w:rPr>
                <w:b/>
                <w:color w:val="FFFFFF" w:themeColor="background1"/>
                <w:szCs w:val="18"/>
              </w:rPr>
              <w:t>How and why we process that data</w:t>
            </w:r>
          </w:p>
        </w:tc>
        <w:tc>
          <w:tcPr>
            <w:tcW w:w="1928" w:type="dxa"/>
            <w:shd w:val="clear" w:color="auto" w:fill="000000" w:themeFill="text1"/>
          </w:tcPr>
          <w:p w14:paraId="7FA5D767" w14:textId="06591205" w:rsidR="0042524B" w:rsidRPr="005D6271" w:rsidRDefault="0042524B" w:rsidP="00125E37">
            <w:pPr>
              <w:jc w:val="right"/>
              <w:rPr>
                <w:b/>
                <w:color w:val="FFFFFF" w:themeColor="background1"/>
                <w:szCs w:val="18"/>
              </w:rPr>
            </w:pPr>
            <w:r w:rsidRPr="005D6271">
              <w:rPr>
                <w:b/>
                <w:color w:val="FFFFFF" w:themeColor="background1"/>
                <w:szCs w:val="18"/>
              </w:rPr>
              <w:t xml:space="preserve">Legal </w:t>
            </w:r>
            <w:r w:rsidR="004F5411" w:rsidRPr="005D6271">
              <w:rPr>
                <w:b/>
                <w:color w:val="FFFFFF" w:themeColor="background1"/>
                <w:szCs w:val="18"/>
              </w:rPr>
              <w:t>b</w:t>
            </w:r>
            <w:r w:rsidRPr="005D6271">
              <w:rPr>
                <w:b/>
                <w:color w:val="FFFFFF" w:themeColor="background1"/>
                <w:szCs w:val="18"/>
              </w:rPr>
              <w:t>asis</w:t>
            </w:r>
          </w:p>
        </w:tc>
      </w:tr>
      <w:tr w:rsidR="005077A2" w:rsidRPr="00662718" w14:paraId="271577E2" w14:textId="57457B19" w:rsidTr="00345F77">
        <w:trPr>
          <w:cnfStyle w:val="000000010000" w:firstRow="0" w:lastRow="0" w:firstColumn="0" w:lastColumn="0" w:oddVBand="0" w:evenVBand="0" w:oddHBand="0" w:evenHBand="1" w:firstRowFirstColumn="0" w:firstRowLastColumn="0" w:lastRowFirstColumn="0" w:lastRowLastColumn="0"/>
          <w:cantSplit/>
        </w:trPr>
        <w:tc>
          <w:tcPr>
            <w:tcW w:w="2404" w:type="dxa"/>
          </w:tcPr>
          <w:p w14:paraId="781BBF85" w14:textId="77777777" w:rsidR="004D2167" w:rsidRPr="004D2167" w:rsidRDefault="003B304B" w:rsidP="004D2167">
            <w:pPr>
              <w:pStyle w:val="ListParagraph"/>
              <w:numPr>
                <w:ilvl w:val="0"/>
                <w:numId w:val="15"/>
              </w:numPr>
              <w:ind w:left="447"/>
              <w:rPr>
                <w:b/>
                <w:sz w:val="18"/>
              </w:rPr>
            </w:pPr>
            <w:r w:rsidRPr="004D2167">
              <w:rPr>
                <w:b/>
                <w:sz w:val="18"/>
              </w:rPr>
              <w:t>Name</w:t>
            </w:r>
          </w:p>
          <w:p w14:paraId="2144A546" w14:textId="689D5D93" w:rsidR="004D2167" w:rsidRPr="004D2167" w:rsidRDefault="003B304B" w:rsidP="004D2167">
            <w:pPr>
              <w:pStyle w:val="ListParagraph"/>
              <w:numPr>
                <w:ilvl w:val="0"/>
                <w:numId w:val="15"/>
              </w:numPr>
              <w:ind w:left="447"/>
              <w:rPr>
                <w:b/>
                <w:sz w:val="18"/>
              </w:rPr>
            </w:pPr>
            <w:r w:rsidRPr="004D2167">
              <w:rPr>
                <w:b/>
                <w:sz w:val="18"/>
              </w:rPr>
              <w:t>Telephone</w:t>
            </w:r>
          </w:p>
          <w:p w14:paraId="04E4258B" w14:textId="63B13B81" w:rsidR="0042524B" w:rsidRPr="004D2167" w:rsidRDefault="003B304B" w:rsidP="004D2167">
            <w:pPr>
              <w:pStyle w:val="ListParagraph"/>
              <w:numPr>
                <w:ilvl w:val="0"/>
                <w:numId w:val="15"/>
              </w:numPr>
              <w:ind w:left="447"/>
              <w:rPr>
                <w:b/>
                <w:sz w:val="18"/>
              </w:rPr>
            </w:pPr>
            <w:r w:rsidRPr="004D2167">
              <w:rPr>
                <w:b/>
                <w:sz w:val="18"/>
              </w:rPr>
              <w:t>E-mail address</w:t>
            </w:r>
          </w:p>
          <w:p w14:paraId="4DA57787" w14:textId="77777777" w:rsidR="003B304B" w:rsidRPr="004D2167" w:rsidRDefault="003B304B" w:rsidP="004D2167">
            <w:pPr>
              <w:pStyle w:val="ListParagraph"/>
              <w:numPr>
                <w:ilvl w:val="0"/>
                <w:numId w:val="15"/>
              </w:numPr>
              <w:ind w:left="447"/>
              <w:rPr>
                <w:b/>
                <w:sz w:val="18"/>
              </w:rPr>
            </w:pPr>
            <w:r w:rsidRPr="004D2167">
              <w:rPr>
                <w:b/>
                <w:sz w:val="18"/>
              </w:rPr>
              <w:t>Postal address</w:t>
            </w:r>
          </w:p>
          <w:p w14:paraId="5BBE16B0" w14:textId="5FE74B76" w:rsidR="004C4A1C" w:rsidRPr="00662718" w:rsidRDefault="004C4A1C" w:rsidP="004D2167">
            <w:pPr>
              <w:pStyle w:val="ListParagraph"/>
              <w:numPr>
                <w:ilvl w:val="0"/>
                <w:numId w:val="15"/>
              </w:numPr>
              <w:ind w:left="447"/>
            </w:pPr>
            <w:r w:rsidRPr="004D2167">
              <w:rPr>
                <w:b/>
                <w:sz w:val="18"/>
              </w:rPr>
              <w:t>Records and contents of any email, written or telephone communications</w:t>
            </w:r>
          </w:p>
        </w:tc>
        <w:tc>
          <w:tcPr>
            <w:tcW w:w="4674" w:type="dxa"/>
          </w:tcPr>
          <w:p w14:paraId="6B512663" w14:textId="100503CA" w:rsidR="008A3533" w:rsidRPr="00662718" w:rsidRDefault="008A3533" w:rsidP="00157ABD">
            <w:pPr>
              <w:jc w:val="both"/>
              <w:rPr>
                <w:b/>
                <w:sz w:val="18"/>
                <w:szCs w:val="18"/>
              </w:rPr>
            </w:pPr>
            <w:r w:rsidRPr="00662718">
              <w:rPr>
                <w:b/>
                <w:sz w:val="18"/>
                <w:szCs w:val="18"/>
              </w:rPr>
              <w:t>How</w:t>
            </w:r>
          </w:p>
          <w:p w14:paraId="2D61B26C" w14:textId="78DEACE4" w:rsidR="008A3533" w:rsidRPr="00662718" w:rsidRDefault="008A3533" w:rsidP="00157ABD">
            <w:pPr>
              <w:jc w:val="both"/>
              <w:rPr>
                <w:sz w:val="18"/>
                <w:szCs w:val="18"/>
              </w:rPr>
            </w:pPr>
            <w:r w:rsidRPr="00662718">
              <w:rPr>
                <w:sz w:val="18"/>
                <w:szCs w:val="18"/>
              </w:rPr>
              <w:t xml:space="preserve">You may provide information about yourself </w:t>
            </w:r>
            <w:r w:rsidR="005E1B0D" w:rsidRPr="00662718">
              <w:rPr>
                <w:sz w:val="18"/>
                <w:szCs w:val="18"/>
              </w:rPr>
              <w:t>by completing</w:t>
            </w:r>
            <w:r w:rsidRPr="00662718">
              <w:rPr>
                <w:sz w:val="18"/>
                <w:szCs w:val="18"/>
              </w:rPr>
              <w:t xml:space="preserve"> paper forms; </w:t>
            </w:r>
            <w:r w:rsidR="00125E37" w:rsidRPr="00662718">
              <w:rPr>
                <w:sz w:val="18"/>
                <w:szCs w:val="18"/>
              </w:rPr>
              <w:t xml:space="preserve">You may </w:t>
            </w:r>
            <w:r w:rsidRPr="00662718">
              <w:rPr>
                <w:sz w:val="18"/>
                <w:szCs w:val="18"/>
              </w:rPr>
              <w:t>initiat</w:t>
            </w:r>
            <w:r w:rsidR="00125E37" w:rsidRPr="00662718">
              <w:rPr>
                <w:sz w:val="18"/>
                <w:szCs w:val="18"/>
              </w:rPr>
              <w:t>e</w:t>
            </w:r>
            <w:r w:rsidRPr="00662718">
              <w:rPr>
                <w:sz w:val="18"/>
                <w:szCs w:val="18"/>
              </w:rPr>
              <w:t xml:space="preserve"> dialogue with us by telephone, email or otherwise;</w:t>
            </w:r>
            <w:r w:rsidR="00125E37" w:rsidRPr="00662718">
              <w:rPr>
                <w:sz w:val="18"/>
                <w:szCs w:val="18"/>
              </w:rPr>
              <w:t xml:space="preserve"> </w:t>
            </w:r>
            <w:r w:rsidRPr="00662718">
              <w:rPr>
                <w:sz w:val="18"/>
                <w:szCs w:val="18"/>
              </w:rPr>
              <w:t>When you call our office, we may collect Calling Line Identification (CLI) information or ask you for a telephone number to call back on.</w:t>
            </w:r>
          </w:p>
          <w:p w14:paraId="18A53ACE" w14:textId="09476FE8" w:rsidR="008A3533" w:rsidRPr="00662718" w:rsidRDefault="008A3533" w:rsidP="00157ABD">
            <w:pPr>
              <w:jc w:val="both"/>
              <w:rPr>
                <w:b/>
                <w:sz w:val="18"/>
                <w:szCs w:val="18"/>
              </w:rPr>
            </w:pPr>
            <w:r w:rsidRPr="00662718">
              <w:rPr>
                <w:b/>
                <w:sz w:val="18"/>
                <w:szCs w:val="18"/>
              </w:rPr>
              <w:t>Why</w:t>
            </w:r>
          </w:p>
          <w:p w14:paraId="12E7C445" w14:textId="792DC0FA" w:rsidR="0042524B" w:rsidRPr="00662718" w:rsidRDefault="003B304B" w:rsidP="00157ABD">
            <w:pPr>
              <w:jc w:val="both"/>
              <w:rPr>
                <w:sz w:val="18"/>
                <w:szCs w:val="18"/>
              </w:rPr>
            </w:pPr>
            <w:r w:rsidRPr="00662718">
              <w:rPr>
                <w:sz w:val="18"/>
                <w:szCs w:val="18"/>
              </w:rPr>
              <w:t xml:space="preserve">To </w:t>
            </w:r>
            <w:r w:rsidR="004C4A1C" w:rsidRPr="00662718">
              <w:rPr>
                <w:sz w:val="18"/>
                <w:szCs w:val="18"/>
              </w:rPr>
              <w:t>correspond with</w:t>
            </w:r>
            <w:r w:rsidRPr="00662718">
              <w:rPr>
                <w:sz w:val="18"/>
                <w:szCs w:val="18"/>
              </w:rPr>
              <w:t xml:space="preserve"> you; To perform our obligations arising from any contracts between you and us and to provide you with any information, products and services that you have requested from us; To notify you about changes to our products or services.</w:t>
            </w:r>
          </w:p>
        </w:tc>
        <w:tc>
          <w:tcPr>
            <w:tcW w:w="1928" w:type="dxa"/>
          </w:tcPr>
          <w:p w14:paraId="0FA8FD3D" w14:textId="77777777" w:rsidR="003B304B" w:rsidRPr="00756430" w:rsidRDefault="003B304B" w:rsidP="003B304B">
            <w:pPr>
              <w:jc w:val="right"/>
              <w:rPr>
                <w:sz w:val="16"/>
                <w:szCs w:val="18"/>
              </w:rPr>
            </w:pPr>
            <w:r w:rsidRPr="00756430">
              <w:rPr>
                <w:noProof/>
                <w:sz w:val="16"/>
                <w:szCs w:val="18"/>
              </w:rPr>
              <w:drawing>
                <wp:inline distT="0" distB="0" distL="0" distR="0" wp14:anchorId="5DBA25CF" wp14:editId="49496EFC">
                  <wp:extent cx="360000" cy="360000"/>
                  <wp:effectExtent l="0" t="0" r="2540" b="2540"/>
                  <wp:docPr id="54" name="Graphic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r w:rsidRPr="00756430">
              <w:rPr>
                <w:sz w:val="16"/>
                <w:szCs w:val="18"/>
              </w:rPr>
              <w:t xml:space="preserve"> </w:t>
            </w:r>
            <w:r w:rsidRPr="00756430">
              <w:rPr>
                <w:noProof/>
                <w:sz w:val="16"/>
                <w:szCs w:val="18"/>
              </w:rPr>
              <w:drawing>
                <wp:inline distT="0" distB="0" distL="0" distR="0" wp14:anchorId="111E8F9F" wp14:editId="5C788387">
                  <wp:extent cx="360000" cy="360000"/>
                  <wp:effectExtent l="0" t="0" r="2540" b="2540"/>
                  <wp:docPr id="53" name="Graphic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p w14:paraId="3252AE23" w14:textId="28EF53A7" w:rsidR="003B304B" w:rsidRPr="00756430" w:rsidRDefault="003B304B" w:rsidP="003B304B">
            <w:pPr>
              <w:jc w:val="right"/>
              <w:rPr>
                <w:sz w:val="16"/>
                <w:szCs w:val="18"/>
              </w:rPr>
            </w:pPr>
            <w:r w:rsidRPr="00756430">
              <w:rPr>
                <w:sz w:val="16"/>
                <w:szCs w:val="18"/>
              </w:rPr>
              <w:t>Contracted services,</w:t>
            </w:r>
          </w:p>
          <w:p w14:paraId="1F906572" w14:textId="75BB6D07" w:rsidR="003B304B" w:rsidRPr="00756430" w:rsidRDefault="003B304B" w:rsidP="003B304B">
            <w:pPr>
              <w:spacing w:line="240" w:lineRule="auto"/>
              <w:jc w:val="right"/>
              <w:rPr>
                <w:sz w:val="16"/>
                <w:szCs w:val="18"/>
              </w:rPr>
            </w:pPr>
            <w:r w:rsidRPr="00756430">
              <w:rPr>
                <w:sz w:val="16"/>
                <w:szCs w:val="18"/>
              </w:rPr>
              <w:t>Our legitimate interests</w:t>
            </w:r>
          </w:p>
        </w:tc>
      </w:tr>
      <w:tr w:rsidR="00373789" w:rsidRPr="00662718" w14:paraId="2ABD0E99" w14:textId="77777777" w:rsidTr="00345F77">
        <w:trPr>
          <w:cantSplit/>
        </w:trPr>
        <w:tc>
          <w:tcPr>
            <w:tcW w:w="2404" w:type="dxa"/>
          </w:tcPr>
          <w:p w14:paraId="7EC959AA" w14:textId="77777777" w:rsidR="00373789" w:rsidRPr="00B66107" w:rsidRDefault="00373789" w:rsidP="00373789">
            <w:pPr>
              <w:pStyle w:val="ListParagraph"/>
              <w:numPr>
                <w:ilvl w:val="0"/>
                <w:numId w:val="4"/>
              </w:numPr>
              <w:ind w:left="447"/>
              <w:rPr>
                <w:b/>
                <w:sz w:val="18"/>
                <w:szCs w:val="18"/>
              </w:rPr>
            </w:pPr>
            <w:r w:rsidRPr="00B66107">
              <w:rPr>
                <w:b/>
                <w:sz w:val="18"/>
                <w:szCs w:val="18"/>
              </w:rPr>
              <w:t>Passport, identity card, or driving license</w:t>
            </w:r>
          </w:p>
          <w:p w14:paraId="0D81BBA2" w14:textId="77777777" w:rsidR="00373789" w:rsidRPr="00B66107" w:rsidRDefault="00373789" w:rsidP="00373789">
            <w:pPr>
              <w:pStyle w:val="ListParagraph"/>
              <w:numPr>
                <w:ilvl w:val="0"/>
                <w:numId w:val="4"/>
              </w:numPr>
              <w:ind w:left="447"/>
              <w:rPr>
                <w:b/>
                <w:sz w:val="18"/>
                <w:szCs w:val="18"/>
              </w:rPr>
            </w:pPr>
            <w:r w:rsidRPr="00B66107">
              <w:rPr>
                <w:b/>
                <w:sz w:val="18"/>
                <w:szCs w:val="18"/>
              </w:rPr>
              <w:t>Utility bill</w:t>
            </w:r>
          </w:p>
          <w:p w14:paraId="5C8338E0" w14:textId="392D1C59" w:rsidR="00373789" w:rsidRDefault="00373789" w:rsidP="00373789">
            <w:pPr>
              <w:pStyle w:val="ListParagraph"/>
              <w:numPr>
                <w:ilvl w:val="0"/>
                <w:numId w:val="15"/>
              </w:numPr>
              <w:ind w:left="447"/>
              <w:rPr>
                <w:b/>
                <w:sz w:val="18"/>
              </w:rPr>
            </w:pPr>
            <w:r w:rsidRPr="00B66107">
              <w:rPr>
                <w:b/>
                <w:sz w:val="18"/>
                <w:szCs w:val="18"/>
              </w:rPr>
              <w:t>Financial details including your financial histor</w:t>
            </w:r>
            <w:r w:rsidR="00612C60">
              <w:rPr>
                <w:b/>
                <w:sz w:val="18"/>
                <w:szCs w:val="18"/>
              </w:rPr>
              <w:t>y</w:t>
            </w:r>
          </w:p>
        </w:tc>
        <w:tc>
          <w:tcPr>
            <w:tcW w:w="4674" w:type="dxa"/>
          </w:tcPr>
          <w:p w14:paraId="5B21D21A" w14:textId="77777777" w:rsidR="00373789" w:rsidRPr="00662718" w:rsidRDefault="00373789" w:rsidP="00373789">
            <w:pPr>
              <w:jc w:val="both"/>
              <w:rPr>
                <w:b/>
                <w:sz w:val="18"/>
                <w:szCs w:val="18"/>
              </w:rPr>
            </w:pPr>
            <w:r w:rsidRPr="00662718">
              <w:rPr>
                <w:b/>
                <w:sz w:val="18"/>
                <w:szCs w:val="18"/>
              </w:rPr>
              <w:t>How</w:t>
            </w:r>
          </w:p>
          <w:p w14:paraId="3B860BFB" w14:textId="2BC595F4" w:rsidR="00373789" w:rsidRPr="00662718" w:rsidRDefault="00373789" w:rsidP="00373789">
            <w:pPr>
              <w:jc w:val="both"/>
              <w:rPr>
                <w:sz w:val="18"/>
                <w:szCs w:val="18"/>
              </w:rPr>
            </w:pPr>
            <w:r w:rsidRPr="00662718">
              <w:rPr>
                <w:sz w:val="18"/>
                <w:szCs w:val="18"/>
              </w:rPr>
              <w:t xml:space="preserve">We may ask you to </w:t>
            </w:r>
            <w:r>
              <w:rPr>
                <w:sz w:val="18"/>
                <w:szCs w:val="18"/>
              </w:rPr>
              <w:t>provide additional information</w:t>
            </w:r>
            <w:r w:rsidRPr="00662718">
              <w:rPr>
                <w:sz w:val="18"/>
                <w:szCs w:val="18"/>
              </w:rPr>
              <w:t xml:space="preserve"> that we use to help meet regulatory requirements; We may ask to take copies of your ID documents and provide proof of address.</w:t>
            </w:r>
          </w:p>
          <w:p w14:paraId="2086828A" w14:textId="77777777" w:rsidR="00373789" w:rsidRPr="00662718" w:rsidRDefault="00373789" w:rsidP="00373789">
            <w:pPr>
              <w:jc w:val="both"/>
              <w:rPr>
                <w:b/>
                <w:sz w:val="18"/>
                <w:szCs w:val="18"/>
              </w:rPr>
            </w:pPr>
            <w:r w:rsidRPr="00662718">
              <w:rPr>
                <w:b/>
                <w:sz w:val="18"/>
                <w:szCs w:val="18"/>
              </w:rPr>
              <w:t>Why</w:t>
            </w:r>
          </w:p>
          <w:p w14:paraId="3129D08D" w14:textId="729A62EE" w:rsidR="00373789" w:rsidRPr="00662718" w:rsidRDefault="00373789" w:rsidP="00373789">
            <w:pPr>
              <w:jc w:val="both"/>
              <w:rPr>
                <w:b/>
                <w:sz w:val="18"/>
                <w:szCs w:val="18"/>
              </w:rPr>
            </w:pPr>
            <w:r w:rsidRPr="00662718">
              <w:rPr>
                <w:sz w:val="18"/>
                <w:szCs w:val="18"/>
              </w:rPr>
              <w:t xml:space="preserve">KYC; Verification of identity; </w:t>
            </w:r>
            <w:r>
              <w:rPr>
                <w:sz w:val="18"/>
                <w:szCs w:val="18"/>
              </w:rPr>
              <w:t>C</w:t>
            </w:r>
            <w:r w:rsidRPr="00662718">
              <w:rPr>
                <w:sz w:val="18"/>
                <w:szCs w:val="18"/>
              </w:rPr>
              <w:t>redit checks, collection, and dispute resolution activities; To detect and prevent fraud, unauthorised transactions, tax evasion and money laundering; Preventing unauthorised individuals from accessing, modifying or otherwise interfering with the integrity of the personal data we hold; Managing risk exposure and liabilities; Processing payments.</w:t>
            </w:r>
          </w:p>
        </w:tc>
        <w:tc>
          <w:tcPr>
            <w:tcW w:w="1928" w:type="dxa"/>
          </w:tcPr>
          <w:p w14:paraId="40F2B953" w14:textId="77777777" w:rsidR="00373789" w:rsidRPr="00756430" w:rsidRDefault="00373789" w:rsidP="00373789">
            <w:pPr>
              <w:jc w:val="right"/>
              <w:rPr>
                <w:sz w:val="16"/>
                <w:szCs w:val="18"/>
              </w:rPr>
            </w:pPr>
            <w:r w:rsidRPr="00756430">
              <w:rPr>
                <w:sz w:val="16"/>
                <w:szCs w:val="18"/>
              </w:rPr>
              <w:t xml:space="preserve"> </w:t>
            </w:r>
            <w:r w:rsidRPr="00756430">
              <w:rPr>
                <w:noProof/>
                <w:sz w:val="16"/>
                <w:szCs w:val="18"/>
              </w:rPr>
              <w:drawing>
                <wp:inline distT="0" distB="0" distL="0" distR="0" wp14:anchorId="314D45F0" wp14:editId="7C80C8B3">
                  <wp:extent cx="360000" cy="360000"/>
                  <wp:effectExtent l="0" t="0" r="2540" b="2540"/>
                  <wp:docPr id="56" name="Graphic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r w:rsidRPr="00756430">
              <w:rPr>
                <w:sz w:val="16"/>
                <w:szCs w:val="18"/>
              </w:rPr>
              <w:t xml:space="preserve"> </w:t>
            </w:r>
            <w:r w:rsidRPr="00756430">
              <w:rPr>
                <w:noProof/>
                <w:sz w:val="16"/>
                <w:szCs w:val="18"/>
              </w:rPr>
              <w:drawing>
                <wp:inline distT="0" distB="0" distL="0" distR="0" wp14:anchorId="73A063ED" wp14:editId="6B266053">
                  <wp:extent cx="360000" cy="360000"/>
                  <wp:effectExtent l="0" t="0" r="2540" b="2540"/>
                  <wp:docPr id="57" name="Graphic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p w14:paraId="3ABC8B94" w14:textId="77777777" w:rsidR="00373789" w:rsidRPr="00756430" w:rsidRDefault="00373789" w:rsidP="00373789">
            <w:pPr>
              <w:jc w:val="right"/>
              <w:rPr>
                <w:sz w:val="16"/>
                <w:szCs w:val="18"/>
              </w:rPr>
            </w:pPr>
            <w:r w:rsidRPr="00756430">
              <w:rPr>
                <w:sz w:val="16"/>
                <w:szCs w:val="18"/>
              </w:rPr>
              <w:t>Our legitimate interests,</w:t>
            </w:r>
          </w:p>
          <w:p w14:paraId="2C328FA2" w14:textId="6E439237" w:rsidR="00373789" w:rsidRPr="00756430" w:rsidRDefault="00373789" w:rsidP="00373789">
            <w:pPr>
              <w:jc w:val="right"/>
              <w:rPr>
                <w:noProof/>
                <w:sz w:val="16"/>
                <w:szCs w:val="18"/>
              </w:rPr>
            </w:pPr>
            <w:r w:rsidRPr="00756430">
              <w:rPr>
                <w:sz w:val="16"/>
                <w:szCs w:val="18"/>
              </w:rPr>
              <w:t>Our legal obligations</w:t>
            </w:r>
          </w:p>
        </w:tc>
      </w:tr>
      <w:tr w:rsidR="00373789" w:rsidRPr="00662718" w14:paraId="46B54DFF" w14:textId="7958B2A7" w:rsidTr="00345F77">
        <w:trPr>
          <w:cnfStyle w:val="000000010000" w:firstRow="0" w:lastRow="0" w:firstColumn="0" w:lastColumn="0" w:oddVBand="0" w:evenVBand="0" w:oddHBand="0" w:evenHBand="1" w:firstRowFirstColumn="0" w:firstRowLastColumn="0" w:lastRowFirstColumn="0" w:lastRowLastColumn="0"/>
          <w:cantSplit/>
        </w:trPr>
        <w:tc>
          <w:tcPr>
            <w:tcW w:w="2404" w:type="dxa"/>
          </w:tcPr>
          <w:p w14:paraId="6D36ECCC" w14:textId="44892715" w:rsidR="00373789" w:rsidRPr="00B66107" w:rsidRDefault="00373789" w:rsidP="00373789">
            <w:pPr>
              <w:pStyle w:val="ListParagraph"/>
              <w:numPr>
                <w:ilvl w:val="0"/>
                <w:numId w:val="4"/>
              </w:numPr>
              <w:ind w:left="447"/>
              <w:rPr>
                <w:b/>
                <w:sz w:val="18"/>
                <w:szCs w:val="18"/>
              </w:rPr>
            </w:pPr>
            <w:r w:rsidRPr="00B66107">
              <w:rPr>
                <w:b/>
                <w:sz w:val="18"/>
                <w:szCs w:val="18"/>
              </w:rPr>
              <w:t>CV and employment history</w:t>
            </w:r>
          </w:p>
        </w:tc>
        <w:tc>
          <w:tcPr>
            <w:tcW w:w="4674" w:type="dxa"/>
          </w:tcPr>
          <w:p w14:paraId="3DD2683F" w14:textId="77777777" w:rsidR="00373789" w:rsidRPr="006A0829" w:rsidRDefault="00373789" w:rsidP="00373789">
            <w:pPr>
              <w:jc w:val="both"/>
              <w:rPr>
                <w:b/>
                <w:sz w:val="18"/>
                <w:szCs w:val="18"/>
              </w:rPr>
            </w:pPr>
            <w:r w:rsidRPr="006A0829">
              <w:rPr>
                <w:b/>
                <w:sz w:val="18"/>
                <w:szCs w:val="18"/>
              </w:rPr>
              <w:t>How</w:t>
            </w:r>
          </w:p>
          <w:p w14:paraId="0F442C79" w14:textId="309A5578" w:rsidR="00373789" w:rsidRPr="006A0829" w:rsidRDefault="00373789" w:rsidP="00373789">
            <w:pPr>
              <w:jc w:val="both"/>
              <w:rPr>
                <w:sz w:val="18"/>
                <w:szCs w:val="18"/>
              </w:rPr>
            </w:pPr>
            <w:r w:rsidRPr="006A0829">
              <w:rPr>
                <w:sz w:val="18"/>
                <w:szCs w:val="18"/>
              </w:rPr>
              <w:t>You may choose to send us your CV.</w:t>
            </w:r>
          </w:p>
          <w:p w14:paraId="5AA6E941" w14:textId="77777777" w:rsidR="00373789" w:rsidRPr="006A0829" w:rsidRDefault="00373789" w:rsidP="00373789">
            <w:pPr>
              <w:jc w:val="both"/>
              <w:rPr>
                <w:b/>
                <w:sz w:val="18"/>
                <w:szCs w:val="18"/>
              </w:rPr>
            </w:pPr>
            <w:r w:rsidRPr="006A0829">
              <w:rPr>
                <w:b/>
                <w:sz w:val="18"/>
                <w:szCs w:val="18"/>
              </w:rPr>
              <w:t>Why</w:t>
            </w:r>
          </w:p>
          <w:p w14:paraId="4FBAFE6A" w14:textId="5B265C6A" w:rsidR="00373789" w:rsidRPr="00662718" w:rsidRDefault="00373789" w:rsidP="00373789">
            <w:pPr>
              <w:jc w:val="both"/>
              <w:rPr>
                <w:sz w:val="18"/>
                <w:szCs w:val="18"/>
              </w:rPr>
            </w:pPr>
            <w:r w:rsidRPr="00662718">
              <w:rPr>
                <w:sz w:val="18"/>
                <w:szCs w:val="18"/>
              </w:rPr>
              <w:t>Evaluating and processing job applications; Contacting you regarding potential employment opportunities.</w:t>
            </w:r>
          </w:p>
        </w:tc>
        <w:tc>
          <w:tcPr>
            <w:tcW w:w="1928" w:type="dxa"/>
          </w:tcPr>
          <w:p w14:paraId="6FF51BE4" w14:textId="6E07EE1E" w:rsidR="00373789" w:rsidRPr="00756430" w:rsidRDefault="00373789" w:rsidP="00373789">
            <w:pPr>
              <w:jc w:val="right"/>
              <w:rPr>
                <w:sz w:val="16"/>
                <w:szCs w:val="18"/>
              </w:rPr>
            </w:pPr>
            <w:r w:rsidRPr="00756430">
              <w:rPr>
                <w:sz w:val="16"/>
                <w:szCs w:val="18"/>
              </w:rPr>
              <w:t xml:space="preserve"> </w:t>
            </w:r>
            <w:r w:rsidRPr="00756430">
              <w:rPr>
                <w:noProof/>
                <w:sz w:val="16"/>
                <w:szCs w:val="18"/>
              </w:rPr>
              <w:drawing>
                <wp:inline distT="0" distB="0" distL="0" distR="0" wp14:anchorId="2A19FB15" wp14:editId="3D946362">
                  <wp:extent cx="360000" cy="360000"/>
                  <wp:effectExtent l="0" t="0" r="2540" b="2540"/>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p w14:paraId="5ACABA76" w14:textId="6E20F67D" w:rsidR="00373789" w:rsidRPr="00756430" w:rsidRDefault="00373789" w:rsidP="00373789">
            <w:pPr>
              <w:jc w:val="right"/>
              <w:rPr>
                <w:sz w:val="16"/>
                <w:szCs w:val="18"/>
              </w:rPr>
            </w:pPr>
            <w:r w:rsidRPr="00756430">
              <w:rPr>
                <w:sz w:val="16"/>
                <w:szCs w:val="18"/>
              </w:rPr>
              <w:t>Our legitimate interests</w:t>
            </w:r>
          </w:p>
        </w:tc>
      </w:tr>
    </w:tbl>
    <w:p w14:paraId="753487CC" w14:textId="3EFCE6B1" w:rsidR="00732E57" w:rsidRDefault="00732E57" w:rsidP="00BA615C"/>
    <w:p w14:paraId="072ADB90" w14:textId="2268A806" w:rsidR="00AC53F5" w:rsidRDefault="00EE31B0" w:rsidP="00EE31B0">
      <w:pPr>
        <w:pStyle w:val="Heading1"/>
      </w:pPr>
      <w:r>
        <w:t>Sharing and disclosure of your data</w:t>
      </w:r>
    </w:p>
    <w:p w14:paraId="68A7D0AF" w14:textId="33ADA510" w:rsidR="00EE31B0" w:rsidRDefault="00EE31B0" w:rsidP="00EE31B0">
      <w:r>
        <w:t>We may pass your personal data to third parties who are service providers, agents and subcontractors to us for the purposes of running our office IT syste</w:t>
      </w:r>
      <w:r w:rsidR="005E1B0D">
        <w:t>m</w:t>
      </w:r>
      <w:r>
        <w:t xml:space="preserve">s, processing payments, and providing services to you on our behalf. We only disclose the specific data that is necessary for the third party to deliver the service, and we require them to keep your information secure and not to use it for their own purposes. </w:t>
      </w:r>
    </w:p>
    <w:p w14:paraId="2B787C68" w14:textId="557334DB" w:rsidR="00DB67D9" w:rsidRDefault="00EE31B0" w:rsidP="00EE31B0">
      <w:bookmarkStart w:id="0" w:name="_Hlk516745655"/>
      <w:bookmarkStart w:id="1" w:name="_GoBack"/>
      <w:r>
        <w:t>We may share data to authorities where disclosure is required by any Jersey law or regulation, where we suspect a criminal offence may have been committed, to protect our rights, property</w:t>
      </w:r>
      <w:r w:rsidR="005E1B0D">
        <w:t>,</w:t>
      </w:r>
      <w:r>
        <w:t xml:space="preserve"> or the safety of others.</w:t>
      </w:r>
    </w:p>
    <w:bookmarkEnd w:id="0"/>
    <w:bookmarkEnd w:id="1"/>
    <w:p w14:paraId="45211F8E" w14:textId="7421D9EB" w:rsidR="00DB67D9" w:rsidRDefault="00DB67D9" w:rsidP="00DB67D9">
      <w:pPr>
        <w:pStyle w:val="Heading1"/>
      </w:pPr>
      <w:r>
        <w:lastRenderedPageBreak/>
        <w:t>Protecting your data</w:t>
      </w:r>
    </w:p>
    <w:p w14:paraId="3D95688A" w14:textId="77777777" w:rsidR="00DB67D9" w:rsidRDefault="00DB67D9" w:rsidP="00DB67D9">
      <w:r>
        <w:t>The data that we collect from you may be transferred to, and stored at, a destination in the Channel Islands or European Economic Area (EEA). We will not transfer your personal data outside these jurisdictions without your consent.</w:t>
      </w:r>
    </w:p>
    <w:p w14:paraId="27D84B7A" w14:textId="76084DD7" w:rsidR="00DB67D9" w:rsidRDefault="00DB67D9" w:rsidP="00DB67D9">
      <w:r>
        <w:t>We will take all steps necessary to ensure that your data is treated securely and in accordance with this privacy policy. We have implemented generally accepted standards of technology and operational security to protect personal data from loss, misuse, or unauthorised alteration or destruction.</w:t>
      </w:r>
    </w:p>
    <w:p w14:paraId="2FD45CE4" w14:textId="77777777" w:rsidR="00DB67D9" w:rsidRDefault="00DB67D9" w:rsidP="00DB67D9">
      <w:r>
        <w:t>Please note however that where you are transmitting information to us over email it can never be guaranteed to be 100% secure.</w:t>
      </w:r>
    </w:p>
    <w:p w14:paraId="73E19352" w14:textId="6736DFF1" w:rsidR="00756CE7" w:rsidRDefault="00DB67D9" w:rsidP="00DB67D9">
      <w:r>
        <w:t xml:space="preserve">We will notify you promptly </w:t>
      </w:r>
      <w:r w:rsidR="00B263AA">
        <w:t>if</w:t>
      </w:r>
      <w:r>
        <w:t xml:space="preserve"> we become aware of any breach of your personal data which might expose you to serious risk.</w:t>
      </w:r>
    </w:p>
    <w:p w14:paraId="5F0931B6" w14:textId="2F5639F1" w:rsidR="00DB67D9" w:rsidRDefault="00DB67D9" w:rsidP="00DB67D9">
      <w:pPr>
        <w:pStyle w:val="Heading1"/>
      </w:pPr>
      <w:r>
        <w:t>How long we store your data for</w:t>
      </w:r>
    </w:p>
    <w:p w14:paraId="34115E3B" w14:textId="6103481D" w:rsidR="00302714" w:rsidRDefault="00DB67D9" w:rsidP="00DB67D9">
      <w:r>
        <w:t>We will hold your personal data on our systems for as long as you are actively engaged with us as a client, prospective client, employee or associate, and for as long afterwards as is necessary to comply with our legal obligations.</w:t>
      </w:r>
    </w:p>
    <w:p w14:paraId="55F2617E" w14:textId="5C33E323" w:rsidR="00601CE3" w:rsidRDefault="00601CE3" w:rsidP="00DB67D9">
      <w:r>
        <w:t>You may request an inventory of data we hold on you, and you may request for it to be removed so long as we are not legally obliged to keep it.</w:t>
      </w:r>
    </w:p>
    <w:p w14:paraId="4F053AA7" w14:textId="77777777" w:rsidR="00601CE3" w:rsidRDefault="00DB67D9" w:rsidP="00DB67D9">
      <w:r>
        <w:t xml:space="preserve">We securely destroy all </w:t>
      </w:r>
      <w:r w:rsidR="00302714">
        <w:t>personal and financial</w:t>
      </w:r>
      <w:r>
        <w:t xml:space="preserve"> </w:t>
      </w:r>
      <w:r w:rsidR="00302714">
        <w:t>data</w:t>
      </w:r>
      <w:r>
        <w:t xml:space="preserve"> once </w:t>
      </w:r>
      <w:r w:rsidR="00302714">
        <w:t>it has expired.</w:t>
      </w:r>
    </w:p>
    <w:p w14:paraId="43EDC9B2" w14:textId="77777777" w:rsidR="00601CE3" w:rsidRDefault="00302714" w:rsidP="00601CE3">
      <w:pPr>
        <w:pStyle w:val="ListParagraph"/>
        <w:numPr>
          <w:ilvl w:val="0"/>
          <w:numId w:val="11"/>
        </w:numPr>
      </w:pPr>
      <w:r>
        <w:t>Paper records are shredded</w:t>
      </w:r>
      <w:r w:rsidR="00601CE3">
        <w:t xml:space="preserve">. </w:t>
      </w:r>
    </w:p>
    <w:p w14:paraId="19F9A174" w14:textId="449930B1" w:rsidR="00DB67D9" w:rsidRDefault="00601CE3" w:rsidP="00601CE3">
      <w:pPr>
        <w:pStyle w:val="ListParagraph"/>
        <w:numPr>
          <w:ilvl w:val="0"/>
          <w:numId w:val="11"/>
        </w:numPr>
      </w:pPr>
      <w:r>
        <w:t>When digital records are erased, an offline archive may continue to exist within our data backup library. It is our policy not to restore that expired data.</w:t>
      </w:r>
    </w:p>
    <w:p w14:paraId="45A24A6F" w14:textId="2B9DF21A" w:rsidR="00DB67D9" w:rsidRDefault="00DB67D9" w:rsidP="00DB67D9">
      <w:pPr>
        <w:pStyle w:val="Heading1"/>
      </w:pPr>
      <w:r>
        <w:t>Your rights</w:t>
      </w:r>
    </w:p>
    <w:p w14:paraId="655D883D" w14:textId="169397F3" w:rsidR="00DB67D9" w:rsidRDefault="00601CE3" w:rsidP="00DB67D9">
      <w:r>
        <w:t xml:space="preserve">We promise to uphold the rights provided to you as an individual under EU GDPR and the </w:t>
      </w:r>
      <w:r w:rsidRPr="00601CE3">
        <w:t>Data Protection (Jersey) Law 201</w:t>
      </w:r>
      <w:r>
        <w:t>8.</w:t>
      </w:r>
    </w:p>
    <w:p w14:paraId="3738F049" w14:textId="68037839" w:rsidR="00601CE3" w:rsidRDefault="00601CE3" w:rsidP="00DB67D9">
      <w:r>
        <w:t xml:space="preserve">For more information about </w:t>
      </w:r>
      <w:r w:rsidR="00543353">
        <w:t>your</w:t>
      </w:r>
      <w:r>
        <w:t xml:space="preserve"> rights please visit the </w:t>
      </w:r>
      <w:hyperlink r:id="rId32" w:history="1">
        <w:r w:rsidR="00543353">
          <w:rPr>
            <w:rStyle w:val="Hyperlink"/>
          </w:rPr>
          <w:t>UK ICO</w:t>
        </w:r>
      </w:hyperlink>
      <w:r w:rsidR="00543353">
        <w:t xml:space="preserve"> or </w:t>
      </w:r>
      <w:hyperlink r:id="rId33" w:history="1">
        <w:r w:rsidR="00543353">
          <w:rPr>
            <w:rStyle w:val="Hyperlink"/>
          </w:rPr>
          <w:t>Channel Islands OIC</w:t>
        </w:r>
      </w:hyperlink>
      <w:r w:rsidR="00543353">
        <w:t xml:space="preserve"> websites.</w:t>
      </w:r>
    </w:p>
    <w:p w14:paraId="659104AB" w14:textId="12A5562E" w:rsidR="00756CE7" w:rsidRDefault="00756CE7" w:rsidP="00756CE7">
      <w:pPr>
        <w:pStyle w:val="Heading1"/>
      </w:pPr>
      <w:r>
        <w:t>Email Disclaimer</w:t>
      </w:r>
    </w:p>
    <w:p w14:paraId="6001AC9F" w14:textId="73579ED7" w:rsidR="005E1B0D" w:rsidRDefault="005E1B0D" w:rsidP="00756CE7">
      <w:r>
        <w:t xml:space="preserve">Email communications may be </w:t>
      </w:r>
      <w:r w:rsidRPr="005E1B0D">
        <w:t xml:space="preserve">private and confidential, </w:t>
      </w:r>
      <w:r>
        <w:t>or contain</w:t>
      </w:r>
      <w:r w:rsidRPr="005E1B0D">
        <w:t xml:space="preserve"> privileged</w:t>
      </w:r>
      <w:r>
        <w:t xml:space="preserve"> information</w:t>
      </w:r>
      <w:r w:rsidRPr="005E1B0D">
        <w:t xml:space="preserve">, and </w:t>
      </w:r>
      <w:r>
        <w:t>are</w:t>
      </w:r>
      <w:r w:rsidRPr="005E1B0D">
        <w:t xml:space="preserve"> intended only for the use of the individual or entity </w:t>
      </w:r>
      <w:r>
        <w:t>who are described in the message headers and/or body</w:t>
      </w:r>
      <w:r w:rsidRPr="005E1B0D">
        <w:t>. Access to the information by anyone else is unauthorised. If you are not the intended recipient (</w:t>
      </w:r>
      <w:r>
        <w:t>a</w:t>
      </w:r>
      <w:r w:rsidRPr="005E1B0D">
        <w:t xml:space="preserve">) you are requested to inform </w:t>
      </w:r>
      <w:r>
        <w:t>us</w:t>
      </w:r>
      <w:r w:rsidRPr="005E1B0D">
        <w:t xml:space="preserve"> immediately by return e-mail and to irretrievably erase all copies of the information from your computer systems (</w:t>
      </w:r>
      <w:r>
        <w:t>b</w:t>
      </w:r>
      <w:r w:rsidRPr="005E1B0D">
        <w:t>) you should not disclose the information to any other person (</w:t>
      </w:r>
      <w:r>
        <w:t>d</w:t>
      </w:r>
      <w:r w:rsidRPr="005E1B0D">
        <w:t>) any dissemination, distribution or copying of the information is strictly prohibited and (</w:t>
      </w:r>
      <w:r>
        <w:t>e</w:t>
      </w:r>
      <w:r w:rsidRPr="005E1B0D">
        <w:t xml:space="preserve">) you should not take or refrain to take any action in reliance upon the information.  All attachments </w:t>
      </w:r>
      <w:r>
        <w:t>are</w:t>
      </w:r>
      <w:r w:rsidRPr="005E1B0D">
        <w:t xml:space="preserve"> scanned to remove viruses; however, we accept no responsibility for these attachments once they have left our </w:t>
      </w:r>
      <w:r>
        <w:t xml:space="preserve">computer </w:t>
      </w:r>
      <w:r w:rsidRPr="005E1B0D">
        <w:t>network.</w:t>
      </w:r>
    </w:p>
    <w:p w14:paraId="076D10F5" w14:textId="36F6CE9D" w:rsidR="00756CE7" w:rsidRDefault="00756CE7" w:rsidP="00756CE7">
      <w:r>
        <w:t>There is no guarantee that any email you send will be received by us</w:t>
      </w:r>
      <w:r w:rsidR="009F2E51">
        <w:t>,</w:t>
      </w:r>
      <w:r>
        <w:t xml:space="preserve"> or that the confidentiality of that email will be maintained during internet transmission.</w:t>
      </w:r>
    </w:p>
    <w:p w14:paraId="6B64F9D0" w14:textId="3A241398" w:rsidR="004C4A1C" w:rsidRDefault="004C4A1C" w:rsidP="004C4A1C">
      <w:pPr>
        <w:pStyle w:val="Heading1"/>
      </w:pPr>
      <w:bookmarkStart w:id="2" w:name="_Contacting_us"/>
      <w:bookmarkEnd w:id="2"/>
      <w:r>
        <w:lastRenderedPageBreak/>
        <w:t>Contact</w:t>
      </w:r>
      <w:r w:rsidR="00EE31B0">
        <w:t>ing</w:t>
      </w:r>
      <w:r>
        <w:t xml:space="preserve"> </w:t>
      </w:r>
      <w:r w:rsidR="00EE31B0">
        <w:t>u</w:t>
      </w:r>
      <w:r>
        <w:t>s</w:t>
      </w:r>
    </w:p>
    <w:p w14:paraId="7F576E42" w14:textId="58DB04E0" w:rsidR="00EE31B0" w:rsidRPr="00EE31B0" w:rsidRDefault="00EE31B0" w:rsidP="00EE31B0">
      <w:r>
        <w:t>You must ensure that any information you provide to us is correct and complete. You can ask us to rectify or update your information at any time</w:t>
      </w:r>
      <w:r w:rsidR="00B263AA">
        <w:t>, though we may ask for proof of identity</w:t>
      </w:r>
      <w:r>
        <w:t xml:space="preserve">. </w:t>
      </w:r>
    </w:p>
    <w:p w14:paraId="6217E2B6" w14:textId="39F2B826" w:rsidR="008A3533" w:rsidRDefault="008A3533" w:rsidP="008A3533">
      <w:r>
        <w:t>All enquiries related to this notice are to be directed as follows:</w:t>
      </w:r>
    </w:p>
    <w:p w14:paraId="4961463F" w14:textId="2CE7A88A" w:rsidR="008A3533" w:rsidRDefault="008A3533" w:rsidP="008A3533">
      <w:r w:rsidRPr="008A3533">
        <w:rPr>
          <w:b/>
        </w:rPr>
        <w:t xml:space="preserve">Email: </w:t>
      </w:r>
      <w:r w:rsidRPr="008A3533">
        <w:rPr>
          <w:b/>
        </w:rPr>
        <w:tab/>
      </w:r>
      <w:r w:rsidRPr="008A3533">
        <w:rPr>
          <w:b/>
        </w:rPr>
        <w:tab/>
      </w:r>
      <w:hyperlink r:id="rId34" w:history="1">
        <w:r w:rsidR="009A268D" w:rsidRPr="00707FFB">
          <w:rPr>
            <w:rStyle w:val="Hyperlink"/>
          </w:rPr>
          <w:t>enquiries@palladiumgroup.co.uk</w:t>
        </w:r>
      </w:hyperlink>
      <w:r w:rsidR="003A7D11">
        <w:t xml:space="preserve"> </w:t>
      </w:r>
    </w:p>
    <w:p w14:paraId="502E2850" w14:textId="08D7B9F0" w:rsidR="00A90051" w:rsidRDefault="008A3533" w:rsidP="00A90051">
      <w:r w:rsidRPr="008A3533">
        <w:rPr>
          <w:b/>
        </w:rPr>
        <w:t>Telephone:</w:t>
      </w:r>
      <w:r>
        <w:t xml:space="preserve"> </w:t>
      </w:r>
      <w:r>
        <w:tab/>
      </w:r>
      <w:r w:rsidR="003A7D11" w:rsidRPr="003A7D11">
        <w:t>01534 730558</w:t>
      </w:r>
    </w:p>
    <w:p w14:paraId="55FF486E" w14:textId="210CAC70" w:rsidR="003A7D11" w:rsidRDefault="008A3533" w:rsidP="003A7D11">
      <w:r w:rsidRPr="008A3533">
        <w:rPr>
          <w:b/>
        </w:rPr>
        <w:t>In writing:</w:t>
      </w:r>
      <w:r>
        <w:tab/>
      </w:r>
      <w:r w:rsidR="003A7D11">
        <w:t>Palladium Group, Bourne House, 2nd Floor, Francis Street, St Helier, Jersey, JE2 4QE</w:t>
      </w:r>
    </w:p>
    <w:sectPr w:rsidR="003A7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81D6E" w14:textId="77777777" w:rsidR="00D920F6" w:rsidRDefault="00D920F6" w:rsidP="00D920F6">
      <w:pPr>
        <w:spacing w:after="0" w:line="240" w:lineRule="auto"/>
      </w:pPr>
      <w:r>
        <w:separator/>
      </w:r>
    </w:p>
  </w:endnote>
  <w:endnote w:type="continuationSeparator" w:id="0">
    <w:p w14:paraId="2829B70B" w14:textId="77777777" w:rsidR="00D920F6" w:rsidRDefault="00D920F6" w:rsidP="00D92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2F101" w14:textId="77777777" w:rsidR="00D920F6" w:rsidRDefault="00D920F6" w:rsidP="00D920F6">
      <w:pPr>
        <w:spacing w:after="0" w:line="240" w:lineRule="auto"/>
      </w:pPr>
      <w:r>
        <w:separator/>
      </w:r>
    </w:p>
  </w:footnote>
  <w:footnote w:type="continuationSeparator" w:id="0">
    <w:p w14:paraId="5DA22255" w14:textId="77777777" w:rsidR="00D920F6" w:rsidRDefault="00D920F6" w:rsidP="00D92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075"/>
    <w:multiLevelType w:val="hybridMultilevel"/>
    <w:tmpl w:val="F8FEC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F76FE6"/>
    <w:multiLevelType w:val="hybridMultilevel"/>
    <w:tmpl w:val="F3B4DF44"/>
    <w:lvl w:ilvl="0" w:tplc="08090001">
      <w:start w:val="1"/>
      <w:numFmt w:val="bullet"/>
      <w:lvlText w:val=""/>
      <w:lvlJc w:val="left"/>
      <w:pPr>
        <w:ind w:left="360" w:hanging="360"/>
      </w:pPr>
      <w:rPr>
        <w:rFonts w:ascii="Symbol" w:hAnsi="Symbol" w:hint="default"/>
      </w:rPr>
    </w:lvl>
    <w:lvl w:ilvl="1" w:tplc="E1DEB28A">
      <w:numFmt w:val="bullet"/>
      <w:lvlText w:val="•"/>
      <w:lvlJc w:val="left"/>
      <w:pPr>
        <w:ind w:left="1440" w:hanging="720"/>
      </w:pPr>
      <w:rPr>
        <w:rFonts w:ascii="Calibri" w:eastAsiaTheme="minorHAnsi" w:hAnsi="Calibri" w:cs="Calibri" w:hint="default"/>
        <w:sz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90047"/>
    <w:multiLevelType w:val="hybridMultilevel"/>
    <w:tmpl w:val="A2DA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F316B"/>
    <w:multiLevelType w:val="hybridMultilevel"/>
    <w:tmpl w:val="2CEE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65860"/>
    <w:multiLevelType w:val="hybridMultilevel"/>
    <w:tmpl w:val="40FC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B4EF1"/>
    <w:multiLevelType w:val="hybridMultilevel"/>
    <w:tmpl w:val="61DA7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416BB5"/>
    <w:multiLevelType w:val="hybridMultilevel"/>
    <w:tmpl w:val="394A2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5741F6"/>
    <w:multiLevelType w:val="hybridMultilevel"/>
    <w:tmpl w:val="80769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AF7B8A"/>
    <w:multiLevelType w:val="hybridMultilevel"/>
    <w:tmpl w:val="B4406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E45623"/>
    <w:multiLevelType w:val="hybridMultilevel"/>
    <w:tmpl w:val="13727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9041CB"/>
    <w:multiLevelType w:val="hybridMultilevel"/>
    <w:tmpl w:val="A01AB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BC4D41"/>
    <w:multiLevelType w:val="hybridMultilevel"/>
    <w:tmpl w:val="11E49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0E7D3F"/>
    <w:multiLevelType w:val="hybridMultilevel"/>
    <w:tmpl w:val="C454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309BC"/>
    <w:multiLevelType w:val="hybridMultilevel"/>
    <w:tmpl w:val="5976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B4A13"/>
    <w:multiLevelType w:val="hybridMultilevel"/>
    <w:tmpl w:val="B71C4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1"/>
  </w:num>
  <w:num w:numId="4">
    <w:abstractNumId w:val="6"/>
  </w:num>
  <w:num w:numId="5">
    <w:abstractNumId w:val="2"/>
  </w:num>
  <w:num w:numId="6">
    <w:abstractNumId w:val="9"/>
  </w:num>
  <w:num w:numId="7">
    <w:abstractNumId w:val="11"/>
  </w:num>
  <w:num w:numId="8">
    <w:abstractNumId w:val="4"/>
  </w:num>
  <w:num w:numId="9">
    <w:abstractNumId w:val="5"/>
  </w:num>
  <w:num w:numId="10">
    <w:abstractNumId w:val="0"/>
  </w:num>
  <w:num w:numId="11">
    <w:abstractNumId w:val="3"/>
  </w:num>
  <w:num w:numId="12">
    <w:abstractNumId w:val="13"/>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CC"/>
    <w:rsid w:val="00040BC1"/>
    <w:rsid w:val="0004434D"/>
    <w:rsid w:val="00084701"/>
    <w:rsid w:val="000A58F9"/>
    <w:rsid w:val="000C4268"/>
    <w:rsid w:val="00100ED3"/>
    <w:rsid w:val="00125E37"/>
    <w:rsid w:val="00157ABD"/>
    <w:rsid w:val="00182E45"/>
    <w:rsid w:val="001B464D"/>
    <w:rsid w:val="00221CEE"/>
    <w:rsid w:val="002B55CC"/>
    <w:rsid w:val="002C24B4"/>
    <w:rsid w:val="002E15D5"/>
    <w:rsid w:val="002E635D"/>
    <w:rsid w:val="00302714"/>
    <w:rsid w:val="003151E0"/>
    <w:rsid w:val="00327E0C"/>
    <w:rsid w:val="00337E33"/>
    <w:rsid w:val="00345F77"/>
    <w:rsid w:val="00364388"/>
    <w:rsid w:val="00373789"/>
    <w:rsid w:val="00385D85"/>
    <w:rsid w:val="00385DE6"/>
    <w:rsid w:val="00385E29"/>
    <w:rsid w:val="003A7D11"/>
    <w:rsid w:val="003B304B"/>
    <w:rsid w:val="003F4ED7"/>
    <w:rsid w:val="003F57C7"/>
    <w:rsid w:val="0042524B"/>
    <w:rsid w:val="00450668"/>
    <w:rsid w:val="00461DD5"/>
    <w:rsid w:val="004C4A1C"/>
    <w:rsid w:val="004D2167"/>
    <w:rsid w:val="004F5411"/>
    <w:rsid w:val="005077A2"/>
    <w:rsid w:val="00543353"/>
    <w:rsid w:val="005D6271"/>
    <w:rsid w:val="005E1B0D"/>
    <w:rsid w:val="00601CE3"/>
    <w:rsid w:val="0060315D"/>
    <w:rsid w:val="00612C60"/>
    <w:rsid w:val="00640046"/>
    <w:rsid w:val="00662718"/>
    <w:rsid w:val="0069190E"/>
    <w:rsid w:val="00694601"/>
    <w:rsid w:val="006A0829"/>
    <w:rsid w:val="006D7500"/>
    <w:rsid w:val="0072252C"/>
    <w:rsid w:val="00732E57"/>
    <w:rsid w:val="00752AA3"/>
    <w:rsid w:val="00756430"/>
    <w:rsid w:val="00756CE7"/>
    <w:rsid w:val="007D2EDF"/>
    <w:rsid w:val="00854D51"/>
    <w:rsid w:val="008A3533"/>
    <w:rsid w:val="00951513"/>
    <w:rsid w:val="0096315A"/>
    <w:rsid w:val="009A268D"/>
    <w:rsid w:val="009F2E51"/>
    <w:rsid w:val="009F3154"/>
    <w:rsid w:val="00A00680"/>
    <w:rsid w:val="00A36379"/>
    <w:rsid w:val="00A47106"/>
    <w:rsid w:val="00A90051"/>
    <w:rsid w:val="00AC53F5"/>
    <w:rsid w:val="00AF0944"/>
    <w:rsid w:val="00AF17B1"/>
    <w:rsid w:val="00AF577E"/>
    <w:rsid w:val="00AF7AB8"/>
    <w:rsid w:val="00B2518C"/>
    <w:rsid w:val="00B263AA"/>
    <w:rsid w:val="00B27C83"/>
    <w:rsid w:val="00B60511"/>
    <w:rsid w:val="00B66107"/>
    <w:rsid w:val="00BA615C"/>
    <w:rsid w:val="00C26BB5"/>
    <w:rsid w:val="00C30339"/>
    <w:rsid w:val="00CA4B9C"/>
    <w:rsid w:val="00CD442A"/>
    <w:rsid w:val="00D03095"/>
    <w:rsid w:val="00D16B9D"/>
    <w:rsid w:val="00D920F6"/>
    <w:rsid w:val="00DB67D9"/>
    <w:rsid w:val="00DF7D7E"/>
    <w:rsid w:val="00E112D4"/>
    <w:rsid w:val="00E9085F"/>
    <w:rsid w:val="00EE0E34"/>
    <w:rsid w:val="00EE31B0"/>
    <w:rsid w:val="00F87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9DC5"/>
  <w15:chartTrackingRefBased/>
  <w15:docId w15:val="{E1486767-49CE-4240-BF4F-1BB78585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718"/>
    <w:pPr>
      <w:spacing w:line="288" w:lineRule="auto"/>
    </w:pPr>
    <w:rPr>
      <w:sz w:val="20"/>
    </w:rPr>
  </w:style>
  <w:style w:type="paragraph" w:styleId="Heading1">
    <w:name w:val="heading 1"/>
    <w:basedOn w:val="Normal"/>
    <w:next w:val="Normal"/>
    <w:link w:val="Heading1Char"/>
    <w:uiPriority w:val="9"/>
    <w:qFormat/>
    <w:rsid w:val="00345F77"/>
    <w:pPr>
      <w:keepNext/>
      <w:keepLines/>
      <w:spacing w:after="24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35D"/>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345F77"/>
    <w:rPr>
      <w:rFonts w:asciiTheme="majorHAnsi" w:eastAsiaTheme="majorEastAsia" w:hAnsiTheme="majorHAnsi" w:cstheme="majorBidi"/>
      <w:sz w:val="32"/>
      <w:szCs w:val="32"/>
    </w:rPr>
  </w:style>
  <w:style w:type="paragraph" w:styleId="BalloonText">
    <w:name w:val="Balloon Text"/>
    <w:basedOn w:val="Normal"/>
    <w:link w:val="BalloonTextChar"/>
    <w:uiPriority w:val="99"/>
    <w:semiHidden/>
    <w:unhideWhenUsed/>
    <w:rsid w:val="00CA4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B9C"/>
    <w:rPr>
      <w:rFonts w:ascii="Segoe UI" w:hAnsi="Segoe UI" w:cs="Segoe UI"/>
      <w:sz w:val="18"/>
      <w:szCs w:val="18"/>
    </w:rPr>
  </w:style>
  <w:style w:type="character" w:styleId="CommentReference">
    <w:name w:val="annotation reference"/>
    <w:basedOn w:val="DefaultParagraphFont"/>
    <w:uiPriority w:val="99"/>
    <w:semiHidden/>
    <w:unhideWhenUsed/>
    <w:rsid w:val="00A00680"/>
    <w:rPr>
      <w:sz w:val="16"/>
      <w:szCs w:val="16"/>
    </w:rPr>
  </w:style>
  <w:style w:type="paragraph" w:styleId="CommentText">
    <w:name w:val="annotation text"/>
    <w:basedOn w:val="Normal"/>
    <w:link w:val="CommentTextChar"/>
    <w:semiHidden/>
    <w:unhideWhenUsed/>
    <w:rsid w:val="00A00680"/>
    <w:pPr>
      <w:spacing w:line="240" w:lineRule="auto"/>
    </w:pPr>
    <w:rPr>
      <w:szCs w:val="20"/>
    </w:rPr>
  </w:style>
  <w:style w:type="character" w:customStyle="1" w:styleId="CommentTextChar">
    <w:name w:val="Comment Text Char"/>
    <w:basedOn w:val="DefaultParagraphFont"/>
    <w:link w:val="CommentText"/>
    <w:semiHidden/>
    <w:rsid w:val="00A00680"/>
    <w:rPr>
      <w:sz w:val="20"/>
      <w:szCs w:val="20"/>
    </w:rPr>
  </w:style>
  <w:style w:type="paragraph" w:styleId="CommentSubject">
    <w:name w:val="annotation subject"/>
    <w:basedOn w:val="CommentText"/>
    <w:next w:val="CommentText"/>
    <w:link w:val="CommentSubjectChar"/>
    <w:uiPriority w:val="99"/>
    <w:semiHidden/>
    <w:unhideWhenUsed/>
    <w:rsid w:val="00A00680"/>
    <w:rPr>
      <w:b/>
      <w:bCs/>
    </w:rPr>
  </w:style>
  <w:style w:type="character" w:customStyle="1" w:styleId="CommentSubjectChar">
    <w:name w:val="Comment Subject Char"/>
    <w:basedOn w:val="CommentTextChar"/>
    <w:link w:val="CommentSubject"/>
    <w:uiPriority w:val="99"/>
    <w:semiHidden/>
    <w:rsid w:val="00A00680"/>
    <w:rPr>
      <w:b/>
      <w:bCs/>
      <w:sz w:val="20"/>
      <w:szCs w:val="20"/>
    </w:rPr>
  </w:style>
  <w:style w:type="paragraph" w:styleId="ListParagraph">
    <w:name w:val="List Paragraph"/>
    <w:basedOn w:val="Normal"/>
    <w:uiPriority w:val="34"/>
    <w:qFormat/>
    <w:rsid w:val="00662718"/>
    <w:pPr>
      <w:spacing w:after="80"/>
      <w:ind w:left="720"/>
    </w:pPr>
  </w:style>
  <w:style w:type="character" w:styleId="Hyperlink">
    <w:name w:val="Hyperlink"/>
    <w:basedOn w:val="DefaultParagraphFont"/>
    <w:uiPriority w:val="99"/>
    <w:unhideWhenUsed/>
    <w:rsid w:val="008A3533"/>
    <w:rPr>
      <w:color w:val="0563C1" w:themeColor="hyperlink"/>
      <w:u w:val="single"/>
    </w:rPr>
  </w:style>
  <w:style w:type="character" w:styleId="UnresolvedMention">
    <w:name w:val="Unresolved Mention"/>
    <w:basedOn w:val="DefaultParagraphFont"/>
    <w:uiPriority w:val="99"/>
    <w:semiHidden/>
    <w:unhideWhenUsed/>
    <w:rsid w:val="008A3533"/>
    <w:rPr>
      <w:color w:val="808080"/>
      <w:shd w:val="clear" w:color="auto" w:fill="E6E6E6"/>
    </w:rPr>
  </w:style>
  <w:style w:type="paragraph" w:styleId="Title">
    <w:name w:val="Title"/>
    <w:basedOn w:val="Normal"/>
    <w:next w:val="Normal"/>
    <w:link w:val="TitleChar"/>
    <w:qFormat/>
    <w:rsid w:val="00345F77"/>
    <w:pPr>
      <w:spacing w:after="24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5F7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92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0F6"/>
    <w:rPr>
      <w:sz w:val="20"/>
    </w:rPr>
  </w:style>
  <w:style w:type="paragraph" w:styleId="Footer">
    <w:name w:val="footer"/>
    <w:basedOn w:val="Normal"/>
    <w:link w:val="FooterChar"/>
    <w:uiPriority w:val="99"/>
    <w:unhideWhenUsed/>
    <w:rsid w:val="00D92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0F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5619">
      <w:bodyDiv w:val="1"/>
      <w:marLeft w:val="0"/>
      <w:marRight w:val="0"/>
      <w:marTop w:val="0"/>
      <w:marBottom w:val="0"/>
      <w:divBdr>
        <w:top w:val="none" w:sz="0" w:space="0" w:color="auto"/>
        <w:left w:val="none" w:sz="0" w:space="0" w:color="auto"/>
        <w:bottom w:val="none" w:sz="0" w:space="0" w:color="auto"/>
        <w:right w:val="none" w:sz="0" w:space="0" w:color="auto"/>
      </w:divBdr>
    </w:div>
    <w:div w:id="157774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svg"/><Relationship Id="rId34" Type="http://schemas.openxmlformats.org/officeDocument/2006/relationships/hyperlink" Target="mailto:enquiries@palladiumgroup.co.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image" Target="media/image16.svg"/><Relationship Id="rId33" Type="http://schemas.openxmlformats.org/officeDocument/2006/relationships/hyperlink" Target="https://dataci.je/guidance/"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15.png"/><Relationship Id="rId32" Type="http://schemas.openxmlformats.org/officeDocument/2006/relationships/hyperlink" Target="https://ico.org.uk/for-the-public/" TargetMode="Externa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14.sv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svg"/><Relationship Id="rId31" Type="http://schemas.openxmlformats.org/officeDocument/2006/relationships/image" Target="media/image22.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svg"/><Relationship Id="rId30" Type="http://schemas.openxmlformats.org/officeDocument/2006/relationships/image" Target="media/image21.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43C761366BD43B54BAD2E57B74FFA" ma:contentTypeVersion="8" ma:contentTypeDescription="Create a new document." ma:contentTypeScope="" ma:versionID="ea383d0969925fa911fb4077cb4ca3f6">
  <xsd:schema xmlns:xsd="http://www.w3.org/2001/XMLSchema" xmlns:xs="http://www.w3.org/2001/XMLSchema" xmlns:p="http://schemas.microsoft.com/office/2006/metadata/properties" xmlns:ns2="e88c6eeb-7386-47e0-ab75-57853599769a" xmlns:ns3="332e4823-6a43-4b4c-892e-e687424414b0" targetNamespace="http://schemas.microsoft.com/office/2006/metadata/properties" ma:root="true" ma:fieldsID="06e99743de66fe078c30c644e27cb5f4" ns2:_="" ns3:_="">
    <xsd:import namespace="e88c6eeb-7386-47e0-ab75-57853599769a"/>
    <xsd:import namespace="332e4823-6a43-4b4c-892e-e687424414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6eeb-7386-47e0-ab75-578535997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e4823-6a43-4b4c-892e-e687424414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0A16E-35A4-4D10-9436-7F3CF79E61FC}">
  <ds:schemaRefs>
    <ds:schemaRef ds:uri="http://schemas.microsoft.com/office/2006/documentManagement/types"/>
    <ds:schemaRef ds:uri="ffb2899a-acd7-43ce-84cf-d5453ee63250"/>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b7bd3e45-a55a-49e2-808e-ac0a8b7bfcb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504A2B2-178D-4EC9-97CA-100EA94F5838}">
  <ds:schemaRefs>
    <ds:schemaRef ds:uri="http://schemas.microsoft.com/sharepoint/v3/contenttype/forms"/>
  </ds:schemaRefs>
</ds:datastoreItem>
</file>

<file path=customXml/itemProps3.xml><?xml version="1.0" encoding="utf-8"?>
<ds:datastoreItem xmlns:ds="http://schemas.openxmlformats.org/officeDocument/2006/customXml" ds:itemID="{17E5F79C-6957-4F35-9D34-207B5C43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6eeb-7386-47e0-ab75-57853599769a"/>
    <ds:schemaRef ds:uri="332e4823-6a43-4b4c-892e-e68742441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4</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Moore</dc:creator>
  <cp:keywords/>
  <dc:description/>
  <cp:lastModifiedBy>Richard Moore</cp:lastModifiedBy>
  <cp:revision>61</cp:revision>
  <cp:lastPrinted>2018-03-21T20:19:00Z</cp:lastPrinted>
  <dcterms:created xsi:type="dcterms:W3CDTF">2018-03-21T10:26:00Z</dcterms:created>
  <dcterms:modified xsi:type="dcterms:W3CDTF">2018-06-14T12:19:00Z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0x0101008BA43C761366BD43B54BAD2E57B74FFA</vt:lpwstr>
  </property>
  <property fmtid="{D5CDD505-2E9C-101B-9397-08002B2CF9AE}" pid="3" name="Order">
    <vt:r8>181000</vt:r8>
  </property>
</Properties>
</file>